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27" w:rsidRPr="008D0D7E" w:rsidRDefault="00E66B07" w:rsidP="008D0D7E">
      <w:pPr>
        <w:pStyle w:val="Ttulo1"/>
        <w:spacing w:before="240" w:after="120" w:line="360" w:lineRule="auto"/>
        <w:ind w:left="0"/>
        <w:jc w:val="center"/>
        <w:rPr>
          <w:rFonts w:ascii="Century Gothic" w:hAnsi="Century Gothic"/>
          <w:b/>
          <w:spacing w:val="8"/>
          <w:szCs w:val="24"/>
        </w:rPr>
      </w:pPr>
      <w:r w:rsidRPr="008D0D7E">
        <w:rPr>
          <w:rFonts w:ascii="Century Gothic" w:hAnsi="Century Gothic"/>
          <w:b/>
          <w:color w:val="2E5395"/>
          <w:spacing w:val="8"/>
          <w:szCs w:val="24"/>
        </w:rPr>
        <w:t>Comisión Institucional Sobre Accesibilidad Y Discapacidad</w:t>
      </w:r>
      <w:r w:rsidR="002863D9">
        <w:rPr>
          <w:rFonts w:ascii="Century Gothic" w:hAnsi="Century Gothic"/>
          <w:b/>
          <w:color w:val="2E5395"/>
          <w:spacing w:val="8"/>
          <w:szCs w:val="24"/>
        </w:rPr>
        <w:t xml:space="preserve"> (CIAD)</w:t>
      </w:r>
    </w:p>
    <w:p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¿Qué es la Ciad?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La comisión institucional sobre accesibilidad y discapacidad (CIAD), creada por la ley Nº 9171, es el órgano de apoyo a la administración para potenciar la prestación de servicios por parte del Ministerio de Educación Pública, desde la perspectiva de respeto a los derechos de las personas con discapacidad.</w:t>
      </w:r>
    </w:p>
    <w:p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¿Cuál es su objetivo?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Promover políticas, decretos y directrices que procuren la efectiva implementación, respeto y garantía de los derechos de las personas con discapacidad en los planes, programas, proyectos y servicios, que brinda el Ministerio de Educación Pública.</w:t>
      </w:r>
    </w:p>
    <w:p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¿Cuáles son sus funciones?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Velar por que las instituciones que representan incluyan, en sus reglamentos, políticas institucionales, planes, programas, proyectos y servicios, los principios de igualdad de oportunidades y accesibilidad para las personas con discapacidad, en cualquier región y comunidad del país.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8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Coordinar la formulación, ejecución y evaluación de las políticas institucionales, en el marco de la política nacional en discapacidad y de la normativa vigente.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lastRenderedPageBreak/>
        <w:t>Cooperar mediante recomendaciones con la elaboración y evaluación del plan y presupuesto institucional de equiparación de oportunidades con las diferentes instancias institucionales, fundamentadas en la normativa vigente sobre discapacidad.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5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Propiciar la participación de las personas con discapacidad y de las organizaciones que las representan en la formulación de las políticas institucionales, así como en el diseño, la ejecución y la evaluación del plan institucional de equiparación de oportunidades.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Coordinar, con las instancias correspondientes, la incorporación de la perspectiva de discapacidad y equiparación de oportunidades en los contenidos de la capacitación, la divulgación y en los sistemas de información institucionales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49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Organizar y promover la provisión de servicios de apoyo y ayudas técnicas que requieren los funcionarios, usuarios y beneficiarios que presentan discapacidad.</w:t>
      </w:r>
    </w:p>
    <w:p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8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Establecer vínculos de cooperación con integrantes de otras CIAD.</w:t>
      </w:r>
    </w:p>
    <w:p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¿Quién puede acudir a la CIAD?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Toda persona funcionaria del MEP y cualquier persona usuaria de sus servicios.</w:t>
      </w:r>
    </w:p>
    <w:p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¿Cuándo acudir a la CIAD?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Con fundamento en la Ley 9171, el marco de acción de la CIAD-MEP se concreta en acciones como las siguientes: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 xml:space="preserve">Cuando se requieran criterios técnicos por parte la administración, sobre la incorporación de los principios de igualdad de oportunidades y </w:t>
      </w:r>
      <w:r w:rsidRPr="008D0D7E">
        <w:rPr>
          <w:rFonts w:ascii="Century Gothic" w:hAnsi="Century Gothic"/>
          <w:spacing w:val="8"/>
          <w:sz w:val="24"/>
          <w:szCs w:val="24"/>
        </w:rPr>
        <w:lastRenderedPageBreak/>
        <w:t>accesibilidad para las personas con discapacidad, en los reglamentos, políticas institucionales, planes, programas, proyectos y servicios.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información sobre la normativa, instancias y servicios que brinda el MEP a la población con discapacidad.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apoyo en la coordinación, formulación, ejecución y evaluación de las políticas institucionales, en el marco de la política nacional en discapacidad y de la normativa vigente.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la cooperación, mediante recomendaciones, en la elaboración y evaluación del plan y presupuesto institucional de equiparación de oportunidades con las diferentes instancias institucionales.</w:t>
      </w:r>
    </w:p>
    <w:p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verificar la inclusión de la perspectiva de discapacidad y equiparación de oportunidades en los contenidos de la capacitación, la divulgación y en los sistemas de información institucionales.</w:t>
      </w:r>
    </w:p>
    <w:p w:rsidR="00412027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orientación sobre la provisión de servicios de apoyo y ayudas técnicas que requieran las personas funcionarias, usuarias y beneficiarias que presentan discapacidad.</w:t>
      </w:r>
    </w:p>
    <w:p w:rsidR="00BC7326" w:rsidRDefault="00BC7326" w:rsidP="00BC7326">
      <w:pPr>
        <w:pStyle w:val="Ttulo2"/>
        <w:spacing w:before="240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Contacto:</w:t>
      </w:r>
    </w:p>
    <w:p w:rsidR="00412027" w:rsidRPr="008D0D7E" w:rsidRDefault="006C61A9" w:rsidP="008D0D7E">
      <w:pPr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bookmarkStart w:id="0" w:name="_GoBack"/>
      <w:bookmarkEnd w:id="0"/>
      <w:r w:rsidRPr="008B4BB7">
        <w:rPr>
          <w:rFonts w:ascii="Century Gothic" w:hAnsi="Century Gothic"/>
          <w:spacing w:val="8"/>
          <w:sz w:val="24"/>
          <w:szCs w:val="24"/>
        </w:rPr>
        <w:t>Si necesita ayuda o más información puede escribir al correo electrónico</w:t>
      </w:r>
      <w:r w:rsidR="00E66B07" w:rsidRPr="008D0D7E">
        <w:rPr>
          <w:rFonts w:ascii="Century Gothic" w:eastAsiaTheme="majorEastAsia" w:hAnsi="Century Gothic" w:cstheme="majorBidi"/>
          <w:color w:val="365F91" w:themeColor="accent1" w:themeShade="BF"/>
          <w:spacing w:val="8"/>
          <w:sz w:val="24"/>
          <w:szCs w:val="24"/>
        </w:rPr>
        <w:t>:</w:t>
      </w:r>
      <w:r w:rsidR="00E66B07" w:rsidRPr="008D0D7E">
        <w:rPr>
          <w:rFonts w:ascii="Century Gothic" w:hAnsi="Century Gothic"/>
          <w:color w:val="2E5395"/>
          <w:spacing w:val="8"/>
          <w:sz w:val="24"/>
          <w:szCs w:val="24"/>
        </w:rPr>
        <w:t xml:space="preserve"> </w:t>
      </w:r>
      <w:hyperlink r:id="rId10" w:history="1">
        <w:r w:rsidRPr="00556934">
          <w:rPr>
            <w:rStyle w:val="Hipervnculo"/>
            <w:rFonts w:ascii="Century Gothic" w:hAnsi="Century Gothic"/>
            <w:spacing w:val="8"/>
            <w:sz w:val="24"/>
            <w:szCs w:val="24"/>
          </w:rPr>
          <w:t>ciad@mep.go.cr</w:t>
        </w:r>
      </w:hyperlink>
      <w:r>
        <w:rPr>
          <w:rFonts w:ascii="Century Gothic" w:hAnsi="Century Gothic"/>
          <w:spacing w:val="8"/>
          <w:sz w:val="24"/>
          <w:szCs w:val="24"/>
        </w:rPr>
        <w:t xml:space="preserve"> </w:t>
      </w:r>
    </w:p>
    <w:sectPr w:rsidR="00412027" w:rsidRPr="008D0D7E" w:rsidSect="008D0D7E">
      <w:headerReference w:type="first" r:id="rId11"/>
      <w:pgSz w:w="12240" w:h="15840"/>
      <w:pgMar w:top="1701" w:right="1600" w:bottom="1276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EE" w:rsidRDefault="001616EE" w:rsidP="008D0D7E">
      <w:r>
        <w:separator/>
      </w:r>
    </w:p>
  </w:endnote>
  <w:endnote w:type="continuationSeparator" w:id="0">
    <w:p w:rsidR="001616EE" w:rsidRDefault="001616EE" w:rsidP="008D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EE" w:rsidRDefault="001616EE" w:rsidP="008D0D7E">
      <w:r>
        <w:separator/>
      </w:r>
    </w:p>
  </w:footnote>
  <w:footnote w:type="continuationSeparator" w:id="0">
    <w:p w:rsidR="001616EE" w:rsidRDefault="001616EE" w:rsidP="008D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7E" w:rsidRDefault="002863D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1192530" cy="946150"/>
          <wp:effectExtent l="0" t="0" r="7620" b="6350"/>
          <wp:wrapNone/>
          <wp:docPr id="1" name="Imagen 1" descr="Logo de la CI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ad_s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9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D7E">
      <w:rPr>
        <w:noProof/>
        <w:lang w:val="es-CR" w:eastAsia="es-CR"/>
      </w:rPr>
      <w:drawing>
        <wp:inline distT="0" distB="0" distL="0" distR="0" wp14:anchorId="493C8D31" wp14:editId="33015EF4">
          <wp:extent cx="1276350" cy="1077595"/>
          <wp:effectExtent l="0" t="0" r="0" b="0"/>
          <wp:docPr id="16" name="Imagen 16" descr="Logo del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Logo del MEP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54"/>
                  <a:stretch/>
                </pic:blipFill>
                <pic:spPr bwMode="auto">
                  <a:xfrm>
                    <a:off x="0" y="0"/>
                    <a:ext cx="1276350" cy="1077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3CF"/>
    <w:multiLevelType w:val="hybridMultilevel"/>
    <w:tmpl w:val="06FE8538"/>
    <w:lvl w:ilvl="0" w:tplc="55B0CB92">
      <w:start w:val="1"/>
      <w:numFmt w:val="lowerLetter"/>
      <w:lvlText w:val="%1)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s-ES" w:eastAsia="en-US" w:bidi="ar-SA"/>
      </w:rPr>
    </w:lvl>
    <w:lvl w:ilvl="1" w:tplc="2E70C69A">
      <w:numFmt w:val="bullet"/>
      <w:lvlText w:val="•"/>
      <w:lvlJc w:val="left"/>
      <w:pPr>
        <w:ind w:left="994" w:hanging="279"/>
      </w:pPr>
      <w:rPr>
        <w:rFonts w:hint="default"/>
        <w:lang w:val="es-ES" w:eastAsia="en-US" w:bidi="ar-SA"/>
      </w:rPr>
    </w:lvl>
    <w:lvl w:ilvl="2" w:tplc="85C2F730">
      <w:numFmt w:val="bullet"/>
      <w:lvlText w:val="•"/>
      <w:lvlJc w:val="left"/>
      <w:pPr>
        <w:ind w:left="1888" w:hanging="279"/>
      </w:pPr>
      <w:rPr>
        <w:rFonts w:hint="default"/>
        <w:lang w:val="es-ES" w:eastAsia="en-US" w:bidi="ar-SA"/>
      </w:rPr>
    </w:lvl>
    <w:lvl w:ilvl="3" w:tplc="AB36BC4E">
      <w:numFmt w:val="bullet"/>
      <w:lvlText w:val="•"/>
      <w:lvlJc w:val="left"/>
      <w:pPr>
        <w:ind w:left="2782" w:hanging="279"/>
      </w:pPr>
      <w:rPr>
        <w:rFonts w:hint="default"/>
        <w:lang w:val="es-ES" w:eastAsia="en-US" w:bidi="ar-SA"/>
      </w:rPr>
    </w:lvl>
    <w:lvl w:ilvl="4" w:tplc="6CCC3124">
      <w:numFmt w:val="bullet"/>
      <w:lvlText w:val="•"/>
      <w:lvlJc w:val="left"/>
      <w:pPr>
        <w:ind w:left="3676" w:hanging="279"/>
      </w:pPr>
      <w:rPr>
        <w:rFonts w:hint="default"/>
        <w:lang w:val="es-ES" w:eastAsia="en-US" w:bidi="ar-SA"/>
      </w:rPr>
    </w:lvl>
    <w:lvl w:ilvl="5" w:tplc="B81EF5C0">
      <w:numFmt w:val="bullet"/>
      <w:lvlText w:val="•"/>
      <w:lvlJc w:val="left"/>
      <w:pPr>
        <w:ind w:left="4570" w:hanging="279"/>
      </w:pPr>
      <w:rPr>
        <w:rFonts w:hint="default"/>
        <w:lang w:val="es-ES" w:eastAsia="en-US" w:bidi="ar-SA"/>
      </w:rPr>
    </w:lvl>
    <w:lvl w:ilvl="6" w:tplc="5C8A8EC2">
      <w:numFmt w:val="bullet"/>
      <w:lvlText w:val="•"/>
      <w:lvlJc w:val="left"/>
      <w:pPr>
        <w:ind w:left="5464" w:hanging="279"/>
      </w:pPr>
      <w:rPr>
        <w:rFonts w:hint="default"/>
        <w:lang w:val="es-ES" w:eastAsia="en-US" w:bidi="ar-SA"/>
      </w:rPr>
    </w:lvl>
    <w:lvl w:ilvl="7" w:tplc="45789B82">
      <w:numFmt w:val="bullet"/>
      <w:lvlText w:val="•"/>
      <w:lvlJc w:val="left"/>
      <w:pPr>
        <w:ind w:left="6358" w:hanging="279"/>
      </w:pPr>
      <w:rPr>
        <w:rFonts w:hint="default"/>
        <w:lang w:val="es-ES" w:eastAsia="en-US" w:bidi="ar-SA"/>
      </w:rPr>
    </w:lvl>
    <w:lvl w:ilvl="8" w:tplc="43F6A236">
      <w:numFmt w:val="bullet"/>
      <w:lvlText w:val="•"/>
      <w:lvlJc w:val="left"/>
      <w:pPr>
        <w:ind w:left="7252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27"/>
    <w:rsid w:val="001616EE"/>
    <w:rsid w:val="00284325"/>
    <w:rsid w:val="002863D9"/>
    <w:rsid w:val="00412027"/>
    <w:rsid w:val="00456E0B"/>
    <w:rsid w:val="006B0823"/>
    <w:rsid w:val="006C61A9"/>
    <w:rsid w:val="006E0F3D"/>
    <w:rsid w:val="008B4BB7"/>
    <w:rsid w:val="008D0D7E"/>
    <w:rsid w:val="00BC7326"/>
    <w:rsid w:val="00DF719D"/>
    <w:rsid w:val="00E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4178A"/>
  <w15:docId w15:val="{88719646-4793-4BB8-ABA8-D41F1F54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0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0D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7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7E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D0D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6C6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iad@mep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E80AD7E39C444B4C90D3E279A8FB0" ma:contentTypeVersion="16" ma:contentTypeDescription="Crear nuevo documento." ma:contentTypeScope="" ma:versionID="918229e47ee85f5bb5a4b2da765019b4">
  <xsd:schema xmlns:xsd="http://www.w3.org/2001/XMLSchema" xmlns:xs="http://www.w3.org/2001/XMLSchema" xmlns:p="http://schemas.microsoft.com/office/2006/metadata/properties" xmlns:ns2="a07dcbc5-7f7a-458b-8c43-568a452fe916" xmlns:ns3="172993a6-8411-4d26-91d8-ea049311f951" targetNamespace="http://schemas.microsoft.com/office/2006/metadata/properties" ma:root="true" ma:fieldsID="3ac01f9a64aef0ea07f0350201de5258" ns2:_="" ns3:_="">
    <xsd:import namespace="a07dcbc5-7f7a-458b-8c43-568a452fe916"/>
    <xsd:import namespace="172993a6-8411-4d26-91d8-ea049311f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cbc5-7f7a-458b-8c43-568a452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93a6-8411-4d26-91d8-ea049311f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0a9fc-de98-4460-a0e4-002b4233be69}" ma:internalName="TaxCatchAll" ma:showField="CatchAllData" ma:web="172993a6-8411-4d26-91d8-ea049311f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993a6-8411-4d26-91d8-ea049311f951" xsi:nil="true"/>
    <lcf76f155ced4ddcb4097134ff3c332f xmlns="a07dcbc5-7f7a-458b-8c43-568a452fe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0117C-9411-45BF-BB5D-3E7BEF333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58B4-DFF6-45C5-A794-14DD9BA8F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cbc5-7f7a-458b-8c43-568a452fe916"/>
    <ds:schemaRef ds:uri="172993a6-8411-4d26-91d8-ea049311f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9B927-BFD4-4655-B026-22E4FEDF5E0D}">
  <ds:schemaRefs>
    <ds:schemaRef ds:uri="http://schemas.microsoft.com/office/2006/metadata/properties"/>
    <ds:schemaRef ds:uri="http://schemas.microsoft.com/office/infopath/2007/PartnerControls"/>
    <ds:schemaRef ds:uri="172993a6-8411-4d26-91d8-ea049311f951"/>
    <ds:schemaRef ds:uri="a07dcbc5-7f7a-458b-8c43-568a452f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</dc:creator>
  <cp:lastModifiedBy>User</cp:lastModifiedBy>
  <cp:revision>7</cp:revision>
  <cp:lastPrinted>2022-09-16T17:40:00Z</cp:lastPrinted>
  <dcterms:created xsi:type="dcterms:W3CDTF">2022-09-07T21:05:00Z</dcterms:created>
  <dcterms:modified xsi:type="dcterms:W3CDTF">2022-09-16T18:04:00Z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0x01010065DE80AD7E39C444B4C90D3E279A8FB0</vt:lpwstr>
  </property>
</Properties>
</file>