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4D" w:rsidRDefault="00750C4D" w:rsidP="001C7FD7">
      <w:pPr>
        <w:pStyle w:val="Puesto"/>
        <w:jc w:val="left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Ttulo2"/>
        <w:pBdr>
          <w:top w:val="thinThickLargeGap" w:sz="24" w:space="2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rPr>
          <w:sz w:val="36"/>
          <w:szCs w:val="36"/>
        </w:rPr>
      </w:pPr>
    </w:p>
    <w:p w:rsidR="00750C4D" w:rsidRDefault="00750C4D" w:rsidP="001C7FD7">
      <w:pPr>
        <w:pStyle w:val="Ttulo2"/>
        <w:pBdr>
          <w:top w:val="thinThickLargeGap" w:sz="24" w:space="2" w:color="auto"/>
          <w:left w:val="thinThickLargeGap" w:sz="24" w:space="4" w:color="auto"/>
          <w:bottom w:val="thinThickLargeGap" w:sz="24" w:space="1" w:color="auto"/>
          <w:right w:val="thinThickLargeGap" w:sz="24" w:space="4" w:color="auto"/>
        </w:pBdr>
        <w:rPr>
          <w:sz w:val="44"/>
          <w:szCs w:val="44"/>
        </w:rPr>
      </w:pPr>
      <w:r>
        <w:rPr>
          <w:sz w:val="44"/>
          <w:szCs w:val="44"/>
        </w:rPr>
        <w:t>BOLETA DE INSPECCIÓN</w:t>
      </w:r>
      <w:r w:rsidR="007564C3">
        <w:rPr>
          <w:sz w:val="44"/>
          <w:szCs w:val="44"/>
        </w:rPr>
        <w:t xml:space="preserve"> DE</w:t>
      </w:r>
    </w:p>
    <w:p w:rsidR="00750C4D" w:rsidRDefault="00750C4D" w:rsidP="001C7FD7">
      <w:pPr>
        <w:pStyle w:val="Textoindependiente3"/>
        <w:pBdr>
          <w:top w:val="thinThickLargeGap" w:sz="24" w:space="2" w:color="auto"/>
        </w:pBdr>
      </w:pPr>
      <w:r>
        <w:t>CONDICIONES  DE SALUD OCUPACIONAL</w:t>
      </w:r>
      <w:r w:rsidR="00620C89">
        <w:t xml:space="preserve"> EN CENTROS EDUCATIVOS</w:t>
      </w:r>
    </w:p>
    <w:p w:rsidR="00FD44B5" w:rsidRDefault="00FD44B5" w:rsidP="001C7FD7">
      <w:pPr>
        <w:pStyle w:val="Textoindependiente3"/>
        <w:pBdr>
          <w:top w:val="thinThickLargeGap" w:sz="24" w:space="2" w:color="auto"/>
        </w:pBdr>
        <w:rPr>
          <w:sz w:val="20"/>
          <w:szCs w:val="20"/>
        </w:rPr>
      </w:pPr>
      <w:r>
        <w:rPr>
          <w:sz w:val="20"/>
          <w:szCs w:val="20"/>
        </w:rPr>
        <w:t>Adaptado por:  Tec. Dr. Allan Madrigal Conejo</w:t>
      </w:r>
      <w:r w:rsidR="00E63EC4">
        <w:rPr>
          <w:sz w:val="20"/>
          <w:szCs w:val="20"/>
        </w:rPr>
        <w:t xml:space="preserve"> y Kevin Corrales Valverde</w:t>
      </w:r>
    </w:p>
    <w:p w:rsidR="008E6A15" w:rsidRPr="008E6A15" w:rsidRDefault="008E6A15" w:rsidP="008E6A15">
      <w:pPr>
        <w:pStyle w:val="Textoindependiente3"/>
        <w:pBdr>
          <w:top w:val="thinThickLargeGap" w:sz="24" w:space="2" w:color="auto"/>
        </w:pBdr>
        <w:jc w:val="left"/>
        <w:rPr>
          <w:sz w:val="20"/>
          <w:szCs w:val="20"/>
        </w:rPr>
      </w:pPr>
      <w:r w:rsidRPr="008E6A15">
        <w:rPr>
          <w:sz w:val="20"/>
          <w:szCs w:val="20"/>
        </w:rPr>
        <w:t xml:space="preserve">Tomado de Consejo </w:t>
      </w:r>
      <w:r w:rsidRPr="008E6A15">
        <w:rPr>
          <w:b w:val="0"/>
          <w:bCs w:val="0"/>
          <w:iCs/>
          <w:sz w:val="20"/>
          <w:szCs w:val="20"/>
        </w:rPr>
        <w:t xml:space="preserve">de Salud Ocupacional, CSO.  (2012).  Guía de Inspección General.  En MTSS.  Ministerio de Trabajo y Seguridad Social (Ed.).  Manuales y Guías (1).  Recuperado de </w:t>
      </w:r>
      <w:hyperlink r:id="rId8" w:history="1">
        <w:r w:rsidRPr="008E6A15">
          <w:rPr>
            <w:rStyle w:val="Hipervnculo"/>
            <w:b w:val="0"/>
            <w:bCs w:val="0"/>
            <w:iCs/>
            <w:color w:val="auto"/>
            <w:sz w:val="20"/>
            <w:szCs w:val="20"/>
            <w:u w:val="none"/>
          </w:rPr>
          <w:t>www.cso.go.cr/documentos/manuales_guias.html</w:t>
        </w:r>
      </w:hyperlink>
      <w:r w:rsidRPr="008E6A15">
        <w:rPr>
          <w:b w:val="0"/>
          <w:bCs w:val="0"/>
          <w:iCs/>
          <w:sz w:val="20"/>
          <w:szCs w:val="20"/>
        </w:rPr>
        <w:t>.  Accesado 4-3-2016</w:t>
      </w:r>
    </w:p>
    <w:p w:rsidR="00750C4D" w:rsidRDefault="00750C4D" w:rsidP="001C7FD7">
      <w:pPr>
        <w:pStyle w:val="Textoindependiente3"/>
        <w:pBdr>
          <w:top w:val="thinThickLargeGap" w:sz="24" w:space="2" w:color="auto"/>
        </w:pBd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  <w:lang w:val="es-ES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rPr>
          <w:rFonts w:ascii="Garamond" w:hAnsi="Garamond" w:cs="Garamond"/>
          <w:i/>
          <w:iCs/>
          <w:sz w:val="28"/>
          <w:szCs w:val="28"/>
        </w:rPr>
      </w:pPr>
    </w:p>
    <w:p w:rsidR="00750C4D" w:rsidRPr="0027428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  <w:bookmarkStart w:id="0" w:name="_GoBack"/>
      <w:bookmarkEnd w:id="0"/>
    </w:p>
    <w:p w:rsidR="00750C4D" w:rsidRPr="0027428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Pr="0027428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4"/>
          <w:szCs w:val="24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b w:val="0"/>
          <w:bCs w:val="0"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Default="00750C4D" w:rsidP="001C7FD7">
      <w:pPr>
        <w:pStyle w:val="Puesto"/>
        <w:jc w:val="both"/>
        <w:rPr>
          <w:rFonts w:ascii="Garamond" w:hAnsi="Garamond" w:cs="Garamond"/>
          <w:i/>
          <w:iCs/>
          <w:sz w:val="28"/>
          <w:szCs w:val="28"/>
        </w:rPr>
      </w:pPr>
    </w:p>
    <w:p w:rsidR="00750C4D" w:rsidRPr="00366CBB" w:rsidRDefault="00750C4D" w:rsidP="0021264B">
      <w:pPr>
        <w:pStyle w:val="Ttulo2"/>
        <w:rPr>
          <w:rFonts w:ascii="Book Antiqua" w:hAnsi="Book Antiqua" w:cs="Book Antiqua"/>
          <w:sz w:val="28"/>
          <w:szCs w:val="28"/>
        </w:rPr>
      </w:pPr>
      <w:r w:rsidRPr="00366CBB">
        <w:rPr>
          <w:rFonts w:ascii="Book Antiqua" w:hAnsi="Book Antiqua" w:cs="Book Antiqua"/>
          <w:sz w:val="28"/>
          <w:szCs w:val="28"/>
        </w:rPr>
        <w:lastRenderedPageBreak/>
        <w:t>GUIA DE VERIFICACION</w:t>
      </w:r>
    </w:p>
    <w:p w:rsidR="00750C4D" w:rsidRPr="00366CBB" w:rsidRDefault="00750C4D" w:rsidP="0021264B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366CBB">
        <w:rPr>
          <w:rFonts w:ascii="Book Antiqua" w:hAnsi="Book Antiqua" w:cs="Book Antiqua"/>
          <w:b/>
          <w:bCs/>
          <w:sz w:val="28"/>
          <w:szCs w:val="28"/>
        </w:rPr>
        <w:t>CONDICIONES  DE SALUD  OCUPACIONAL</w:t>
      </w:r>
      <w:r w:rsidR="00620C89">
        <w:rPr>
          <w:rFonts w:ascii="Book Antiqua" w:hAnsi="Book Antiqua" w:cs="Book Antiqua"/>
          <w:b/>
          <w:bCs/>
          <w:sz w:val="28"/>
          <w:szCs w:val="28"/>
        </w:rPr>
        <w:t xml:space="preserve"> EN CENTROS EDUCATIVOS</w:t>
      </w:r>
    </w:p>
    <w:p w:rsidR="00750C4D" w:rsidRDefault="00750C4D" w:rsidP="0021264B">
      <w:pPr>
        <w:jc w:val="center"/>
        <w:rPr>
          <w:rFonts w:ascii="Book Antiqua" w:hAnsi="Book Antiqua" w:cs="Book Antiqua"/>
        </w:rPr>
      </w:pPr>
    </w:p>
    <w:p w:rsidR="00750C4D" w:rsidRDefault="00750C4D" w:rsidP="0021264B">
      <w:pPr>
        <w:jc w:val="center"/>
        <w:rPr>
          <w:rFonts w:ascii="Book Antiqua" w:hAnsi="Book Antiqua" w:cs="Book Antiqua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8980"/>
        <w:gridCol w:w="729"/>
      </w:tblGrid>
      <w:tr w:rsidR="00750C4D" w:rsidTr="007C460C">
        <w:trPr>
          <w:gridBefore w:val="1"/>
          <w:gridAfter w:val="1"/>
          <w:wBefore w:w="356" w:type="dxa"/>
          <w:wAfter w:w="729" w:type="dxa"/>
        </w:trPr>
        <w:tc>
          <w:tcPr>
            <w:tcW w:w="8980" w:type="dxa"/>
          </w:tcPr>
          <w:p w:rsidR="00750C4D" w:rsidRDefault="00750C4D" w:rsidP="001D260C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 xml:space="preserve">Nombre de la </w:t>
            </w:r>
            <w:r w:rsidR="001D260C">
              <w:rPr>
                <w:rFonts w:ascii="Book Antiqua" w:hAnsi="Book Antiqua" w:cs="Book Antiqua"/>
                <w:lang w:val="es-ES_tradnl"/>
              </w:rPr>
              <w:t>Institución</w:t>
            </w:r>
            <w:r w:rsidR="008E6A15">
              <w:rPr>
                <w:rFonts w:ascii="Book Antiqua" w:hAnsi="Book Antiqua" w:cs="Book Antiqua"/>
                <w:lang w:val="es-ES_tradnl"/>
              </w:rPr>
              <w:t xml:space="preserve"> donde se aplicó el instrumento</w:t>
            </w:r>
            <w:r>
              <w:rPr>
                <w:rFonts w:ascii="Book Antiqua" w:hAnsi="Book Antiqua" w:cs="Book Antiqua"/>
                <w:lang w:val="es-ES_tradnl"/>
              </w:rPr>
              <w:t>:</w:t>
            </w:r>
            <w:r w:rsidR="008E6A15">
              <w:rPr>
                <w:rFonts w:ascii="Book Antiqua" w:hAnsi="Book Antiqua" w:cs="Book Antiqua"/>
                <w:lang w:val="es-ES_tradnl"/>
              </w:rPr>
              <w:t xml:space="preserve"> </w:t>
            </w:r>
            <w:r>
              <w:rPr>
                <w:rFonts w:ascii="Book Antiqua" w:hAnsi="Book Antiqua" w:cs="Book Antiqua"/>
                <w:lang w:val="es-ES_tradnl"/>
              </w:rPr>
              <w:t>____________________</w:t>
            </w:r>
            <w:r w:rsidR="001D260C">
              <w:rPr>
                <w:rFonts w:ascii="Book Antiqua" w:hAnsi="Book Antiqua" w:cs="Book Antiqua"/>
                <w:lang w:val="es-ES_tradnl"/>
              </w:rPr>
              <w:t>_________________</w:t>
            </w:r>
          </w:p>
        </w:tc>
      </w:tr>
      <w:tr w:rsidR="00750C4D" w:rsidTr="007C460C">
        <w:trPr>
          <w:gridBefore w:val="1"/>
          <w:gridAfter w:val="1"/>
          <w:wBefore w:w="356" w:type="dxa"/>
          <w:wAfter w:w="729" w:type="dxa"/>
        </w:trPr>
        <w:tc>
          <w:tcPr>
            <w:tcW w:w="8980" w:type="dxa"/>
          </w:tcPr>
          <w:p w:rsidR="00750C4D" w:rsidRDefault="001D260C" w:rsidP="00CC6D11">
            <w:pPr>
              <w:spacing w:line="360" w:lineRule="auto"/>
              <w:rPr>
                <w:rFonts w:ascii="Book Antiqua" w:hAnsi="Book Antiqua" w:cs="Book Antiqua"/>
                <w:lang w:val="es-ES_tradnl"/>
              </w:rPr>
            </w:pPr>
            <w:r>
              <w:rPr>
                <w:rFonts w:ascii="Book Antiqua" w:hAnsi="Book Antiqua" w:cs="Book Antiqua"/>
                <w:lang w:val="es-ES_tradnl"/>
              </w:rPr>
              <w:t xml:space="preserve">Teléfono _____________  </w:t>
            </w:r>
            <w:r w:rsidR="00750C4D">
              <w:rPr>
                <w:rFonts w:ascii="Book Antiqua" w:hAnsi="Book Antiqua" w:cs="Book Antiqua"/>
                <w:lang w:val="es-ES_tradnl"/>
              </w:rPr>
              <w:t>Dirección:______________________________________________________________</w:t>
            </w:r>
            <w:r>
              <w:rPr>
                <w:rFonts w:ascii="Book Antiqua" w:hAnsi="Book Antiqua" w:cs="Book Antiqua"/>
                <w:lang w:val="es-ES_tradnl"/>
              </w:rPr>
              <w:t>______________</w:t>
            </w:r>
            <w:r w:rsidR="00750C4D">
              <w:rPr>
                <w:rFonts w:ascii="Book Antiqua" w:hAnsi="Book Antiqua" w:cs="Book Antiqua"/>
                <w:lang w:val="es-ES_tradnl"/>
              </w:rPr>
              <w:t>__</w:t>
            </w:r>
            <w:r>
              <w:rPr>
                <w:rFonts w:ascii="Book Antiqua" w:hAnsi="Book Antiqua" w:cs="Book Antiqua"/>
                <w:lang w:val="es-ES_tradnl"/>
              </w:rPr>
              <w:t xml:space="preserve">  Regional ________________ Circuito _________________</w:t>
            </w:r>
          </w:p>
        </w:tc>
      </w:tr>
      <w:tr w:rsidR="00750C4D" w:rsidTr="007C460C">
        <w:tc>
          <w:tcPr>
            <w:tcW w:w="10065" w:type="dxa"/>
            <w:gridSpan w:val="3"/>
          </w:tcPr>
          <w:p w:rsidR="00750C4D" w:rsidRDefault="00750C4D" w:rsidP="00CC6D11">
            <w:pPr>
              <w:rPr>
                <w:rFonts w:ascii="Book Antiqua" w:hAnsi="Book Antiqua" w:cs="Book Antiqua"/>
                <w:b/>
                <w:bCs/>
                <w:lang w:val="es-ES_tradnl"/>
              </w:rPr>
            </w:pP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SÍ:  </w:t>
            </w:r>
            <w:r>
              <w:rPr>
                <w:rFonts w:ascii="Book Antiqua" w:hAnsi="Book Antiqua" w:cs="Book Antiqua"/>
                <w:lang w:val="es-ES_tradnl"/>
              </w:rPr>
              <w:t>cumple con la normativa</w:t>
            </w: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   NO: </w:t>
            </w:r>
            <w:r>
              <w:rPr>
                <w:rFonts w:ascii="Book Antiqua" w:hAnsi="Book Antiqua" w:cs="Book Antiqua"/>
                <w:lang w:val="es-ES_tradnl"/>
              </w:rPr>
              <w:t>cumple con la normativa</w:t>
            </w: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   N/S</w:t>
            </w:r>
            <w:r>
              <w:rPr>
                <w:rFonts w:ascii="Book Antiqua" w:hAnsi="Book Antiqua" w:cs="Book Antiqua"/>
                <w:b/>
                <w:bCs/>
                <w:lang w:val="es-CR"/>
              </w:rPr>
              <w:t xml:space="preserve">: </w:t>
            </w:r>
            <w:r>
              <w:rPr>
                <w:rFonts w:ascii="Book Antiqua" w:hAnsi="Book Antiqua" w:cs="Book Antiqua"/>
                <w:lang w:val="es-CR"/>
              </w:rPr>
              <w:t>no sabe la respuesta</w:t>
            </w:r>
            <w:r>
              <w:rPr>
                <w:rFonts w:ascii="Book Antiqua" w:hAnsi="Book Antiqua" w:cs="Book Antiqua"/>
                <w:b/>
                <w:bCs/>
                <w:lang w:val="es-CR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lang w:val="es-ES_tradnl"/>
              </w:rPr>
              <w:t xml:space="preserve">  N/A:  </w:t>
            </w:r>
            <w:r>
              <w:rPr>
                <w:rFonts w:ascii="Book Antiqua" w:hAnsi="Book Antiqua" w:cs="Book Antiqua"/>
                <w:lang w:val="es-ES_tradnl"/>
              </w:rPr>
              <w:t xml:space="preserve">no aplica la pregunta  </w:t>
            </w:r>
          </w:p>
        </w:tc>
      </w:tr>
    </w:tbl>
    <w:p w:rsidR="00750C4D" w:rsidRDefault="00750C4D" w:rsidP="001D4A22">
      <w:pPr>
        <w:rPr>
          <w:rFonts w:ascii="Garamond" w:hAnsi="Garamond" w:cs="Garamond"/>
          <w:b/>
          <w:bCs/>
          <w:sz w:val="22"/>
          <w:szCs w:val="22"/>
        </w:rPr>
      </w:pPr>
    </w:p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07"/>
        <w:gridCol w:w="1134"/>
        <w:gridCol w:w="1629"/>
      </w:tblGrid>
      <w:tr w:rsidR="00750C4D">
        <w:trPr>
          <w:cantSplit/>
          <w:trHeight w:val="247"/>
          <w:tblHeader/>
        </w:trPr>
        <w:tc>
          <w:tcPr>
            <w:tcW w:w="6096" w:type="dxa"/>
            <w:vMerge w:val="restart"/>
            <w:tcBorders>
              <w:bottom w:val="nil"/>
            </w:tcBorders>
            <w:shd w:val="clear" w:color="auto" w:fill="D9D9D9"/>
          </w:tcPr>
          <w:p w:rsidR="00750C4D" w:rsidRDefault="00750C4D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BLOQUE. I</w:t>
            </w:r>
          </w:p>
          <w:p w:rsidR="00750C4D" w:rsidRDefault="00750C4D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:rsidR="00750C4D" w:rsidRDefault="00750C4D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GESTIÓN DE LA PREVENCIÓN</w:t>
            </w:r>
          </w:p>
        </w:tc>
        <w:tc>
          <w:tcPr>
            <w:tcW w:w="3970" w:type="dxa"/>
            <w:gridSpan w:val="3"/>
            <w:tcBorders>
              <w:bottom w:val="nil"/>
            </w:tcBorders>
            <w:shd w:val="clear" w:color="auto" w:fill="D9D9D9"/>
          </w:tcPr>
          <w:p w:rsidR="00750C4D" w:rsidRPr="00E77F84" w:rsidRDefault="00750C4D" w:rsidP="007B3A5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E77F84">
              <w:rPr>
                <w:rFonts w:ascii="Garamond" w:hAnsi="Garamond" w:cs="Garamond"/>
                <w:b/>
                <w:bCs/>
              </w:rPr>
              <w:t>CUMPLIMIENTO</w:t>
            </w:r>
          </w:p>
        </w:tc>
      </w:tr>
      <w:tr w:rsidR="001F0CC7" w:rsidTr="005D2A1F">
        <w:trPr>
          <w:cantSplit/>
          <w:trHeight w:val="620"/>
          <w:tblHeader/>
        </w:trPr>
        <w:tc>
          <w:tcPr>
            <w:tcW w:w="6096" w:type="dxa"/>
            <w:vMerge/>
            <w:tcBorders>
              <w:bottom w:val="nil"/>
            </w:tcBorders>
            <w:shd w:val="clear" w:color="auto" w:fill="D9D9D9"/>
          </w:tcPr>
          <w:p w:rsidR="001F0CC7" w:rsidRDefault="001F0CC7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auto" w:fill="D9D9D9"/>
          </w:tcPr>
          <w:p w:rsidR="001F0CC7" w:rsidRPr="00353E9B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  <w:r w:rsidRPr="00353E9B">
              <w:rPr>
                <w:rFonts w:ascii="Garamond" w:hAnsi="Garamond" w:cs="Garamond"/>
                <w:b/>
                <w:bCs/>
              </w:rPr>
              <w:t>SI CUMPLE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="001F0CC7" w:rsidRPr="00353E9B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  <w:r w:rsidRPr="00353E9B">
              <w:rPr>
                <w:rFonts w:ascii="Garamond" w:hAnsi="Garamond" w:cs="Garamond"/>
                <w:b/>
                <w:bCs/>
              </w:rPr>
              <w:t>NO  CUMPLE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D9D9D9"/>
          </w:tcPr>
          <w:p w:rsidR="001F0CC7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</w:p>
          <w:p w:rsidR="001F0CC7" w:rsidRPr="00353E9B" w:rsidRDefault="001F0CC7">
            <w:pPr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Comentario</w:t>
            </w:r>
          </w:p>
        </w:tc>
      </w:tr>
      <w:tr w:rsidR="00750C4D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8744B0">
            <w:pPr>
              <w:jc w:val="both"/>
              <w:rPr>
                <w:rFonts w:asciiTheme="minorHAnsi" w:hAnsiTheme="minorHAnsi" w:cs="Book Antiqua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Book Antiqua"/>
                <w:b/>
                <w:bCs/>
                <w:sz w:val="22"/>
                <w:szCs w:val="22"/>
              </w:rPr>
              <w:t xml:space="preserve">1.1 SEGURO DE RIESGOS DEL TRABAJO </w:t>
            </w:r>
          </w:p>
        </w:tc>
      </w:tr>
      <w:tr w:rsidR="001F0CC7" w:rsidTr="00312B84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Book Antiqua"/>
                <w:sz w:val="22"/>
                <w:szCs w:val="22"/>
              </w:rPr>
              <w:t>1.1.1 Todos los trabajadores (fijos y ocasionales) están cubiertos por el Seguro de Riesgos del Trabajo. (Código de Trabajo, Ley N° 2 Art. 4, 18 y  201)</w:t>
            </w:r>
          </w:p>
        </w:tc>
        <w:tc>
          <w:tcPr>
            <w:tcW w:w="1207" w:type="dxa"/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</w:tcPr>
          <w:p w:rsidR="001F0CC7" w:rsidRDefault="001F0CC7">
            <w:pPr>
              <w:ind w:hanging="212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50C4D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8744B0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1.2 COMISIONES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(Obligatorio  para centros de trabajo con más de 10 trabajadores)</w:t>
            </w:r>
          </w:p>
        </w:tc>
      </w:tr>
      <w:tr w:rsidR="001F0CC7" w:rsidTr="00712935">
        <w:tc>
          <w:tcPr>
            <w:tcW w:w="6096" w:type="dxa"/>
            <w:tcBorders>
              <w:bottom w:val="nil"/>
            </w:tcBorders>
          </w:tcPr>
          <w:p w:rsidR="001F0CC7" w:rsidRPr="0024621F" w:rsidRDefault="001F0CC7" w:rsidP="00E10899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1.2.1 El centro de trabajo cuenta con Comisión de Salud Ocupacional.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Código de Trabajo, Ley N°2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 Art. 288. Reglamento de Comisiones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 xml:space="preserve">y Oficinas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de Salud Ocupacional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TSS, Art.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Tr="009A657A">
        <w:tc>
          <w:tcPr>
            <w:tcW w:w="6096" w:type="dxa"/>
            <w:tcBorders>
              <w:bottom w:val="nil"/>
            </w:tcBorders>
          </w:tcPr>
          <w:p w:rsidR="001F0CC7" w:rsidRPr="0024621F" w:rsidRDefault="001F0CC7" w:rsidP="00E10899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1.2.2 Esta la comisión  registrada  ante el Consejo de Salud Ocupacional. (Reglamento de Comisiones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 xml:space="preserve"> y Oficinas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de Salud Ocupacional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30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Tr="00F24D39">
        <w:tc>
          <w:tcPr>
            <w:tcW w:w="6096" w:type="dxa"/>
            <w:tcBorders>
              <w:bottom w:val="nil"/>
            </w:tcBorders>
          </w:tcPr>
          <w:p w:rsidR="001F0CC7" w:rsidRPr="0024621F" w:rsidRDefault="001F0CC7" w:rsidP="00E10899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1.2.3 Cuenta la Comisión con libro o registro de actas de reunión (Reglamento de Comisiones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 xml:space="preserve"> y Oficinas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de Salud Ocupacional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28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RPr="00CE1826" w:rsidTr="0023700C">
        <w:tc>
          <w:tcPr>
            <w:tcW w:w="6096" w:type="dxa"/>
            <w:tcBorders>
              <w:bottom w:val="nil"/>
            </w:tcBorders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 xml:space="preserve">1.2.4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Cuenta  con Programa de Trabajo. (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Reglamento de Comisiones y Oficinas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bottom w:val="nil"/>
            </w:tcBorders>
          </w:tcPr>
          <w:p w:rsidR="001F0CC7" w:rsidRPr="00CE1826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F0CC7" w:rsidRPr="00CE1826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1F0CC7" w:rsidRPr="00CE1826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1F0CC7" w:rsidRPr="00DB74B0" w:rsidTr="00DE7C66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1.2.5 Cuenta con informes anuales, debidamente recibidos por el Consejo de Salud Ocupacional. (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Reglamento de Comisiones y Oficinas de Salud Ocupacional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Decreto Ejecutivo N° 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39408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-</w:t>
            </w:r>
            <w:r w:rsidR="00E10899">
              <w:rPr>
                <w:rFonts w:asciiTheme="minorHAnsi" w:hAnsiTheme="minorHAnsi" w:cs="Garamond"/>
                <w:sz w:val="22"/>
                <w:szCs w:val="22"/>
              </w:rPr>
              <w:t>M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TSS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207" w:type="dxa"/>
          </w:tcPr>
          <w:p w:rsidR="001F0CC7" w:rsidRPr="00DB74B0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DB74B0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29" w:type="dxa"/>
          </w:tcPr>
          <w:p w:rsidR="001F0CC7" w:rsidRPr="00DB74B0" w:rsidRDefault="001F0CC7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50C4D" w:rsidRPr="0024621F">
        <w:tc>
          <w:tcPr>
            <w:tcW w:w="10066" w:type="dxa"/>
            <w:gridSpan w:val="4"/>
            <w:shd w:val="clear" w:color="auto" w:fill="D9D9D9"/>
          </w:tcPr>
          <w:p w:rsidR="00750C4D" w:rsidRPr="0024621F" w:rsidRDefault="00750C4D" w:rsidP="001E3FC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1.</w:t>
            </w:r>
            <w:r w:rsidR="001E3FC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CAPACITACION</w:t>
            </w:r>
          </w:p>
        </w:tc>
      </w:tr>
      <w:tr w:rsidR="001F0CC7" w:rsidRPr="0024621F" w:rsidTr="0032394E">
        <w:tc>
          <w:tcPr>
            <w:tcW w:w="6096" w:type="dxa"/>
          </w:tcPr>
          <w:p w:rsidR="001F0CC7" w:rsidRPr="0024621F" w:rsidRDefault="001F0CC7" w:rsidP="002A1EC2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1.</w:t>
            </w: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.1 El trabajador fue capacitado en materia de seguridad e higiene del trabajo.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 4, inciso b , Código de Trabajo Ley N° 2 Art 285)</w:t>
            </w:r>
          </w:p>
        </w:tc>
        <w:tc>
          <w:tcPr>
            <w:tcW w:w="1207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629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746E9F" w:rsidRDefault="00CD01A4" w:rsidP="00CD01A4">
      <w:pPr>
        <w:tabs>
          <w:tab w:val="left" w:pos="1800"/>
        </w:tabs>
        <w:jc w:val="both"/>
        <w:rPr>
          <w:rFonts w:asciiTheme="minorHAnsi" w:hAnsiTheme="minorHAnsi" w:cs="Garamond"/>
          <w:b/>
          <w:bCs/>
          <w:sz w:val="22"/>
          <w:szCs w:val="22"/>
        </w:rPr>
      </w:pPr>
      <w:r>
        <w:rPr>
          <w:rFonts w:asciiTheme="minorHAnsi" w:hAnsiTheme="minorHAnsi" w:cs="Garamond"/>
          <w:b/>
          <w:bCs/>
          <w:sz w:val="22"/>
          <w:szCs w:val="22"/>
        </w:rPr>
        <w:tab/>
      </w:r>
    </w:p>
    <w:p w:rsidR="00746E9F" w:rsidRDefault="00746E9F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</w:p>
    <w:p w:rsidR="00750C4D" w:rsidRPr="0024621F" w:rsidRDefault="00750C4D">
      <w:pPr>
        <w:jc w:val="both"/>
        <w:rPr>
          <w:rFonts w:asciiTheme="minorHAnsi" w:hAnsiTheme="minorHAnsi" w:cs="Garamond"/>
          <w:b/>
          <w:bCs/>
          <w:sz w:val="22"/>
          <w:szCs w:val="22"/>
        </w:rPr>
      </w:pPr>
      <w:r w:rsidRPr="0024621F">
        <w:rPr>
          <w:rFonts w:asciiTheme="minorHAnsi" w:hAnsiTheme="minorHAnsi" w:cs="Garamond"/>
          <w:b/>
          <w:bCs/>
          <w:sz w:val="22"/>
          <w:szCs w:val="22"/>
        </w:rPr>
        <w:t xml:space="preserve">    </w:t>
      </w:r>
    </w:p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750C4D" w:rsidRPr="0024621F">
        <w:trPr>
          <w:cantSplit/>
          <w:trHeight w:val="170"/>
          <w:tblHeader/>
        </w:trPr>
        <w:tc>
          <w:tcPr>
            <w:tcW w:w="6096" w:type="dxa"/>
            <w:vMerge w:val="restart"/>
            <w:tcBorders>
              <w:bottom w:val="nil"/>
            </w:tcBorders>
            <w:shd w:val="clear" w:color="auto" w:fill="D9D9D9"/>
          </w:tcPr>
          <w:p w:rsidR="00750C4D" w:rsidRPr="0024621F" w:rsidRDefault="00750C4D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BLOQUE II</w:t>
            </w:r>
          </w:p>
          <w:p w:rsidR="00750C4D" w:rsidRPr="0024621F" w:rsidRDefault="00750C4D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750C4D" w:rsidRPr="0024621F" w:rsidRDefault="00750C4D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bottom w:val="nil"/>
            </w:tcBorders>
            <w:shd w:val="clear" w:color="auto" w:fill="D9D9D9"/>
          </w:tcPr>
          <w:p w:rsidR="00750C4D" w:rsidRPr="0024621F" w:rsidRDefault="00750C4D">
            <w:pPr>
              <w:jc w:val="center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</w:tr>
      <w:tr w:rsidR="001F0CC7" w:rsidRPr="0024621F" w:rsidTr="00D057AF">
        <w:trPr>
          <w:cantSplit/>
          <w:trHeight w:val="620"/>
          <w:tblHeader/>
        </w:trPr>
        <w:tc>
          <w:tcPr>
            <w:tcW w:w="6096" w:type="dxa"/>
            <w:vMerge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  <w:shd w:val="clear" w:color="auto" w:fill="D9D9D9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BE7082">
            <w:pPr>
              <w:numPr>
                <w:ilvl w:val="1"/>
                <w:numId w:val="5"/>
              </w:num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SEÑALIZACIÓN DE RIESGOS FÍSICOS U OBJETOS</w:t>
            </w:r>
          </w:p>
        </w:tc>
      </w:tr>
      <w:tr w:rsidR="001F0CC7" w:rsidRPr="0024621F" w:rsidTr="00694723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2.1.1 Existen señales y avisos de salud ocupacional en áreas de tránsito, salidas de emergencia, maquinaria, tuberías entre otros. (Norma oficial para la utilización de colores en seguridad y su simbología. Decreto N° 12715-MEIC)</w:t>
            </w: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1F0CC7" w:rsidRPr="0024621F" w:rsidRDefault="001F0CC7">
            <w:pPr>
              <w:ind w:hanging="212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1F0CC7" w:rsidRPr="0024621F" w:rsidTr="00304AC5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2.1.2 Ha sido el trabajador capacitado para la correcta interpretación de señales o avisos.      (Norma INTE 31-07-02-2000. Señalización de Seguridad e Higiene en los Centros de Trabajo)</w:t>
            </w: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1F0CC7" w:rsidRPr="0024621F" w:rsidTr="00454A81">
        <w:tc>
          <w:tcPr>
            <w:tcW w:w="6096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2.1.3 Existen  avisos para  identificar peligros como alto voltaje, explosivos, excavaciones, materiales peligrosos y equipo para incendio(los avisos deben ser de color rojo.)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 35 y Norma oficial para la utilización de colores en seguridad y su simbología. Decreto N° 12715-MEIC)</w:t>
            </w: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1F0CC7" w:rsidRPr="0024621F" w:rsidRDefault="001F0CC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037827" w:rsidRPr="0024621F" w:rsidTr="008364AF">
        <w:tc>
          <w:tcPr>
            <w:tcW w:w="6096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2.1.4 Se encuentran las partes peligrosas de las máquinas  y de  los equipos eléctricos debidamente identificados. ( Las partes deben ser identificadas con el color anaranjado)</w:t>
            </w:r>
          </w:p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(Norma oficial para la utilización de colores en seguridad y su simbología. Decreto N° 12715-MEIC)</w:t>
            </w: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037827" w:rsidRPr="0024621F" w:rsidTr="00EB21CF">
        <w:tc>
          <w:tcPr>
            <w:tcW w:w="6096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2.1.</w:t>
            </w:r>
            <w:r>
              <w:rPr>
                <w:rFonts w:asciiTheme="minorHAnsi" w:hAnsiTheme="minorHAnsi" w:cs="Garamond"/>
                <w:sz w:val="22"/>
                <w:szCs w:val="22"/>
              </w:rPr>
              <w:t>5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Están las áreas de tránsito  peatonal , de vehículos, vigas bajas, columnas, postes, equipo en movimiento, partes de la huella y de la contrahuella de una escalera   debidamente demarcados y señalizados( Estás áreas deben ser pintadas con amarillo) </w:t>
            </w:r>
          </w:p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(Norma oficial para la utilización de colores en seguridad y su simbología. Decreto N° 12715-MEIC)</w:t>
            </w: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750C4D" w:rsidRPr="0024621F" w:rsidRDefault="00750C4D" w:rsidP="00995163">
            <w:pPr>
              <w:pStyle w:val="Textoindependient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/>
                <w:b/>
                <w:bCs/>
                <w:sz w:val="22"/>
                <w:szCs w:val="22"/>
              </w:rPr>
              <w:t>2.2 ÁREA</w:t>
            </w:r>
          </w:p>
        </w:tc>
      </w:tr>
      <w:tr w:rsidR="00037827" w:rsidRPr="0024621F" w:rsidTr="00D664B4">
        <w:tc>
          <w:tcPr>
            <w:tcW w:w="6096" w:type="dxa"/>
            <w:tcBorders>
              <w:bottom w:val="nil"/>
            </w:tcBorders>
          </w:tcPr>
          <w:p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  <w:r w:rsidRPr="0024621F">
              <w:rPr>
                <w:rFonts w:asciiTheme="minorHAnsi" w:hAnsiTheme="minorHAnsi"/>
                <w:sz w:val="22"/>
                <w:szCs w:val="22"/>
              </w:rPr>
              <w:t>2.2.1 Es la superficie del área destinada a cada trabajador, superior o igual a 2 metros cuadrados libres y  de una altura mínima de dos metros y medio.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/>
                <w:sz w:val="22"/>
                <w:szCs w:val="22"/>
              </w:rPr>
              <w:t>Art. 14)</w:t>
            </w: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37827" w:rsidRPr="0024621F" w:rsidRDefault="00037827">
            <w:pPr>
              <w:pStyle w:val="Textoindependien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2.3 TECHOS</w:t>
            </w:r>
          </w:p>
        </w:tc>
      </w:tr>
      <w:tr w:rsidR="00037827" w:rsidRPr="0024621F" w:rsidTr="00716884">
        <w:tc>
          <w:tcPr>
            <w:tcW w:w="6096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2.3.1 Son los techos impermeables, no tóxicos y resistentes. Cuentan con recubrimiento o aislamiento térmico.(Reglamento de Higiene Industrial Decreto N° 18209- S, Art. 33 inciso e)</w:t>
            </w: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037827" w:rsidRPr="0024621F" w:rsidRDefault="0003782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BB1EE9" w:rsidRDefault="00BB1EE9"/>
    <w:p w:rsidR="00BB1EE9" w:rsidRDefault="00BB1EE9"/>
    <w:p w:rsidR="00682333" w:rsidRDefault="00682333"/>
    <w:p w:rsidR="00682333" w:rsidRDefault="00682333"/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682333" w:rsidRPr="0024621F" w:rsidTr="00AD1282">
        <w:tc>
          <w:tcPr>
            <w:tcW w:w="6096" w:type="dxa"/>
            <w:vMerge w:val="restart"/>
          </w:tcPr>
          <w:p w:rsidR="00682333" w:rsidRPr="0024621F" w:rsidRDefault="00682333" w:rsidP="00682333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682333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682333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CD4DE9">
        <w:tc>
          <w:tcPr>
            <w:tcW w:w="6096" w:type="dxa"/>
            <w:vMerge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EA2EA4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EA2EA4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2.4 PISOS</w:t>
            </w:r>
          </w:p>
        </w:tc>
      </w:tr>
      <w:tr w:rsidR="00682333" w:rsidRPr="0024621F" w:rsidTr="00DE2D59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2.4.3 Se encuentra el piso en buen estado sin grietas  o agujeros.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16)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7D529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2.4.4 Está el piso de las diferentes áreas de trabajo al mismo nivel. De no ser así las rampas no deben ser mayores de quince grados.(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 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16)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/>
                <w:b/>
                <w:bCs/>
                <w:i w:val="0"/>
                <w:iCs w:val="0"/>
              </w:rPr>
              <w:t>2.5 PAREDES</w:t>
            </w:r>
          </w:p>
        </w:tc>
      </w:tr>
      <w:tr w:rsidR="00682333" w:rsidRPr="0024621F" w:rsidTr="00FD441B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2.5.1 Están las paredes en buen estado de conservación, son de fácil limpieza, de material impermeable, no tóxico y resistente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 Art. 16 )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B7E3F">
        <w:trPr>
          <w:trHeight w:val="841"/>
        </w:trPr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2.5.2 Las paredes y techos de las salas de trabajo se pintan regularmente, y el color de las mismas es claro y  mate (Reglamento de Higiene Industrial. Decreto N° 18209-S Art. 33, inciso f 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132A85"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2.6 PASILLOS</w:t>
            </w:r>
          </w:p>
        </w:tc>
      </w:tr>
      <w:tr w:rsidR="00682333" w:rsidRPr="0024621F" w:rsidTr="00B208BE">
        <w:tc>
          <w:tcPr>
            <w:tcW w:w="6096" w:type="dxa"/>
            <w:tcBorders>
              <w:bottom w:val="nil"/>
            </w:tcBorders>
          </w:tcPr>
          <w:p w:rsidR="00682333" w:rsidRPr="00BB1EE9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2.6.1 Los pasillos generales y los de uso común  tienen un ancho mínimo de 1.20 m  y los pasillos interiores un ancho mínimo de 0.90 m. (Reglamento a la Ley 7600 Igualdad de Oportunidades para las Personas con Discapacidad en C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osta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R</w:t>
            </w:r>
            <w:r>
              <w:rPr>
                <w:rFonts w:asciiTheme="minorHAnsi" w:hAnsiTheme="minorHAnsi" w:cs="Garamond"/>
                <w:sz w:val="22"/>
                <w:szCs w:val="22"/>
              </w:rPr>
              <w:t>ica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Decreto N° 26831, MP Art 141).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clear" w:color="auto" w:fill="CCCCCC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27 SALIDAS DE EMERGENCIA</w:t>
            </w:r>
          </w:p>
        </w:tc>
      </w:tr>
      <w:tr w:rsidR="00682333" w:rsidRPr="0024621F" w:rsidTr="00C7351D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2.7.1 Existe el número suficiente de salidas de emergencia con indicación mediante señales de la dirección para llegar a ellas.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67263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2.7.2 Los avisos de “Salida de Emergencia” cuentan con  iluminación cuando se labora de noche y tienen una fuente de iluminación independiente.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D7C57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2.7.3 Las puertas de salidas de emergencia se encuentran sin llave y sin otro mecanismo que dificulte abrirla fácilmente y libres de obstáculos de cualquier clase.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19)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2.8 PUERTAS</w:t>
            </w:r>
          </w:p>
        </w:tc>
      </w:tr>
      <w:tr w:rsidR="00682333" w:rsidRPr="0024621F" w:rsidTr="006B2B03">
        <w:trPr>
          <w:trHeight w:val="963"/>
        </w:trPr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2.8.1 El espacio libre de las puertas es de un ancho mínimo de 0.90m; son fáciles de abrir, en caso de usar resortes, estos no obstaculizan la apertura de la puerta (Reglamento a la Ley 7600, Igualdad de Oportunidades para las Personas con Discapacidad en CR Decreto N° 26831,Art. 140)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2.9 ESCALERAS, RAMPAS Y PASARELAS</w:t>
            </w:r>
          </w:p>
        </w:tc>
      </w:tr>
      <w:tr w:rsidR="00682333" w:rsidRPr="0024621F" w:rsidTr="00DB61E6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2.9.1 Los edificios para comercio y oficinas de más de un piso, tienen escaleras que comunican todos los niveles, aun cuando cuentan con ascensores.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 (Reglamento de construcciones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, </w:t>
            </w:r>
            <w:r>
              <w:rPr>
                <w:rFonts w:asciiTheme="minorHAnsi" w:hAnsiTheme="minorHAnsi" w:cs="Garamond"/>
                <w:sz w:val="22"/>
                <w:szCs w:val="22"/>
              </w:rPr>
              <w:t>art. 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E7683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2.9.2 La anchura mínima de las escaleras es de 1.20 m</w:t>
            </w:r>
            <w:r>
              <w:rPr>
                <w:rFonts w:asciiTheme="minorHAnsi" w:hAnsiTheme="minorHAnsi" w:cs="Garamond"/>
                <w:sz w:val="22"/>
                <w:szCs w:val="22"/>
              </w:rPr>
              <w:t>. (Reglamento de construcciones, art. 8)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835C3E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2.9.3 Las huellas de la escalera (espacio para colocar el pie) tiene un mínimo de 30 centímetros y las contrahuellas (altura del escalón) tiene un máximo de 14 centímetros. (Reglamento a la Ley 7600, Igualdad de Oportunidades para las Personas con Discapacidad en CR Decreto N° 26831.Art. 134)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CF5FB0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2.9.4 Los pasamanos o barandales de las escaleras tienen una altura mínima de 90 centímetros. (Reglamento a la Ley 7600, Igualdad de Oportunidades para las Personas con Discapacidad en CR Decreto N° 26831.Art. 134)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9098E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2.9.5  Los pasamanos de las escaleras se continúan por lo menos 0.45 m al inicio y final de las escaleras y si hay descanso también son continuadas por éste. (Reglamento a la Ley 7600, Igualdad de Oportunidades para las Personas con Discapacidad en CR Decreto N° 26831,Art. 133) 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30688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2.9.6 Los pasamanos  cuentan con una señal en Braille que indique el número de piso. (Reglamento a la Ley 7600, Igualdad de Oportunidades para las Personas con Discapacidad en CR Decreto N° 26831,Art. 133)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c>
          <w:tcPr>
            <w:tcW w:w="10066" w:type="dxa"/>
            <w:gridSpan w:val="4"/>
            <w:tcBorders>
              <w:bottom w:val="nil"/>
            </w:tcBorders>
            <w:shd w:val="clear" w:color="auto" w:fill="CCCCCC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2.10 ESCALERAS DE EMERGENCIA</w:t>
            </w: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(Si aplica)</w:t>
            </w: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2.10.1 Tiene su centro de trabajo  escaleras de emergencia (Obligatorio para edificios de cuatro o más pisos). (Reglamento sobre Escaleras de Emergencia. Decreto N° 22088-S. Art. 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2.10.2 La escalera de emergencia  permite que los usuarios, en caso de emergencia puedan  salir del edificio en forma rápida y segura, y desembocar a la acera, al nivel del suelo o en la vía pública amplia y segura hacia el exterior (Reglamento sobre Escaleras de Emergencia. Decreto N° 22088-S. Art. 2, inciso 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6B6DE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2.10.3 Existe una escalera de emergencia para cada área de piso de seiscientos metros cuadrados o de fracción superior de trescientos metros cuadrados. (Reglamento sobre Escaleras de Emergencia. Decreto N° 22088-S. Art. 2, inciso c)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4D36FE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2.10.4 Las escaleras son de diseño recto y  tienen un ancho mínimo de 90cm si la carga de ocupación es menor de 49 personas y 120cm si la ocupación es superior a 50 personas. (Reglamento sobre Escaleras de Emergencia. Decreto N° 22088-S. Art. 2 inciso ch)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A639F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2.10.5 Las puertas de acceso a la escalera de emergencia abren en la dirección normal de salida de las personas y sus cerrojos permiten que se abra fácilmente desde adentro. (Reglamento sobre Escaleras de Emergencia. Decreto N° 22088-S.Art. 2, inciso e)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201FE7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2.10.6 Las barandas de protección tiene como mínimo, 1 metro de alto. (Reglamento sobre Escaleras de Emergencia. Decreto N° 22088-S.Art. 2, inciso f)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248E8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2.10.7 Las escaleras de emergencia y su acceso, se encuentran libres de obstáculos (Reglamento sobre Escaleras de Emergencia. Decreto N° 22088-S.Art. 2, inciso j)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2.11 TRAMPAS, ABERTURAS Y ZANJAS</w:t>
            </w:r>
          </w:p>
        </w:tc>
      </w:tr>
      <w:tr w:rsidR="00682333" w:rsidRPr="0024621F" w:rsidTr="0015255E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2.11.1 Las trampas, zanjas y aberturas que existen en el suelo  están cerrados o tapados. Si  se requieren  se han colocado barandillas  y  se ha señalizado el peligro.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, Art. 20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2.12 LIMPIEZA DEL CENTRO DE TRABAJO</w:t>
            </w:r>
          </w:p>
        </w:tc>
      </w:tr>
      <w:tr w:rsidR="00682333" w:rsidRPr="0024621F" w:rsidTr="00D7696F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2.12.1 El centro de trabajo se conserva siempre limpio y se  proporciona mantenimiento preventivo y correctivo necesario.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 Art.  del  25 al  29)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715855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2.12.2 La limpieza se  realiza fuera de horas de trabajo, preferiblemente después de terminada la jornada.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Del 25 al 29 )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B06B01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2.12.3 Los residuos de materias primas o de fabricación y las aguas residuales  se almacenan, evacuan o eliminan por procedimientos adecuados.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Del 25 al  29 )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119C4">
        <w:tc>
          <w:tcPr>
            <w:tcW w:w="6096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2.12.4 En los establecimientos industriales se evacuan las basuras y desperdicios diariamente. (</w:t>
            </w:r>
            <w:r>
              <w:rPr>
                <w:rFonts w:asciiTheme="minorHAnsi" w:hAnsiTheme="minorHAnsi" w:cs="Garamond"/>
                <w:sz w:val="22"/>
                <w:szCs w:val="22"/>
              </w:rPr>
              <w:t>Decreto 11492-SPSS,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Art. 46)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246F06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2.12.5 La acumulación de estos se hace en recipientes metálicos provistos de cierre hermético.(</w:t>
            </w:r>
            <w:r>
              <w:rPr>
                <w:rFonts w:asciiTheme="minorHAnsi" w:hAnsiTheme="minorHAnsi" w:cs="Garamond"/>
                <w:sz w:val="22"/>
                <w:szCs w:val="22"/>
              </w:rPr>
              <w:t>Decreto 11492-SPSS,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Art. 46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12128E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2.12.6 Los aparatos, maquinaria e instalaciones en general, se mantienen siempre en buen estado de limpieza.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29)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 w:rsidP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2.13 ALMACENAMIENTO DE MATERIALES</w:t>
            </w:r>
          </w:p>
        </w:tc>
      </w:tr>
      <w:tr w:rsidR="00682333" w:rsidRPr="0024621F" w:rsidTr="004E03A6">
        <w:tc>
          <w:tcPr>
            <w:tcW w:w="6096" w:type="dxa"/>
          </w:tcPr>
          <w:p w:rsidR="00682333" w:rsidRPr="0024621F" w:rsidRDefault="00682333" w:rsidP="0087421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2.13.1  Los espacios destinados a la estiba y desestiba están delimitadas de los de tránsito (con muros, cercas o franjas pintadas en el piso de color amarillo con contraste con el negro).  (Norma INTE 31-09-14-20</w:t>
            </w:r>
            <w:r>
              <w:rPr>
                <w:rFonts w:asciiTheme="minorHAnsi" w:hAnsiTheme="minorHAnsi" w:cs="Garamond"/>
                <w:sz w:val="22"/>
                <w:szCs w:val="22"/>
              </w:rPr>
              <w:t>16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Condiciones de seguridad e higiene para la estiba y desestiba de los materiales en los centros de trabajo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7467FA">
        <w:tc>
          <w:tcPr>
            <w:tcW w:w="6096" w:type="dxa"/>
          </w:tcPr>
          <w:p w:rsidR="00682333" w:rsidRPr="0024621F" w:rsidRDefault="00682333" w:rsidP="0087421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2.13.2 Las estibas se apilan sobre apoyos encima del piso, cuando este sea irregular, y dispuestos en forma cruzada y alterna, con dimensiones similares entre sí. (Norma INTE 31-09-14-20</w:t>
            </w:r>
            <w:r>
              <w:rPr>
                <w:rFonts w:asciiTheme="minorHAnsi" w:hAnsiTheme="minorHAnsi" w:cs="Garamond"/>
                <w:sz w:val="22"/>
                <w:szCs w:val="22"/>
              </w:rPr>
              <w:t>16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Condiciones de seguridad e higiene para la estiba y desestiba de los materiales en los centros de trabajo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31282D">
        <w:tc>
          <w:tcPr>
            <w:tcW w:w="6096" w:type="dxa"/>
            <w:tcBorders>
              <w:bottom w:val="nil"/>
            </w:tcBorders>
          </w:tcPr>
          <w:p w:rsidR="00682333" w:rsidRPr="0024621F" w:rsidRDefault="00682333" w:rsidP="00BC75B1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2.13.3 Los espacios destinados a la estiba no obstaculizan el sistema de iluminación (natural o artificial),  el sistema eléctrico, sistemas fijos de extinción y tubería en general y la ventilación natural o artificial. (Norma INTE 31-09-14-20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16.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Condiciones de seguridad e higiene para la estiba y desestiba de los materiales en los centros de trabajo)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2.14 ALMACENAMIENTO SUSTANCIAS INFLAMABLES Y COMBUSTIBLES</w:t>
            </w:r>
          </w:p>
        </w:tc>
      </w:tr>
      <w:tr w:rsidR="00682333" w:rsidRPr="0024621F" w:rsidTr="00131A43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2.14.1 Existen por escrito los procedimientos de seguridad para el almacenamiento, transporte y manejo de sustancias inflamables y combustibles. (Norma INTE 31-02-02-2000 sobre almacenamiento y manejo sustancias inflamables y combustibles)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D80CDF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2.14.2 En el puesto de trabajo existe la hoja técnica de los productos que se están transportando, almacenando y manipulando(Norma INTE 31-02-02-2000 sobre almacenamiento y manejo sustancias inflamables y combustibles)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2.14.3 Se proporciona a cada trabajador  el equipo de protección requerido y se capacita en su uso y mantenimiento.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74)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682333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2.14.4 Los Locales donde se almacenen y manejen sustancias inflamables son resistentes al fuego, con ventilación adecuada, se aíslan las sustancias de cualquier fuente de calor. Las instalaciones de los equipos y líneas eléctricas son a  prueba de explosión según el código eléctrico.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Del 30 al 35 )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750C4D" w:rsidRPr="0024621F" w:rsidTr="00682333">
        <w:trPr>
          <w:cantSplit/>
          <w:trHeight w:val="344"/>
        </w:trPr>
        <w:tc>
          <w:tcPr>
            <w:tcW w:w="10066" w:type="dxa"/>
            <w:gridSpan w:val="4"/>
            <w:tcBorders>
              <w:top w:val="single" w:sz="4" w:space="0" w:color="auto"/>
            </w:tcBorders>
            <w:shd w:val="pct20" w:color="auto" w:fill="FFFFFF"/>
          </w:tcPr>
          <w:p w:rsidR="00750C4D" w:rsidRPr="0024621F" w:rsidRDefault="00750C4D" w:rsidP="002D7AB7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2.15 MAQUINARIA, EQUIPO Y HERRAMIENTAS</w:t>
            </w:r>
          </w:p>
        </w:tc>
      </w:tr>
      <w:tr w:rsidR="00682333" w:rsidRPr="0024621F" w:rsidTr="0061158A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2.15.1 Todo motor  de la maquinaria  </w:t>
            </w:r>
            <w:r w:rsidR="00E10899" w:rsidRPr="0024621F">
              <w:rPr>
                <w:rFonts w:asciiTheme="minorHAnsi" w:hAnsiTheme="minorHAnsi" w:cs="Garamond"/>
                <w:sz w:val="22"/>
                <w:szCs w:val="22"/>
              </w:rPr>
              <w:t>está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protegido y el arranque y parada de los mismos ofrece seguridad a los trabajadores. 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 Art. 39)</w:t>
            </w:r>
            <w:r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F1187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2.15.2 Las unidades móviles, piezas salientes y demás parte de motores, transmisiones y máquinas que ofrezcan peligro para los trabajadores están  cubiertos.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40 y 45)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DE3765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2.15.3 El mantenimiento, engrase y limpieza se realiza durante el tiempo de receso o parada.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Art. 47)</w:t>
            </w:r>
            <w:r w:rsidRPr="00DE6C0E">
              <w:rPr>
                <w:rFonts w:asciiTheme="minorHAnsi" w:hAnsiTheme="minorHAnsi" w:cs="Book Antiqua"/>
                <w:color w:val="FF0000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145CF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2.15.4 Las máquinas o equipos capaces de generar o almacenar electricidad estática (los ductos para los conductores eléctricos, rodillos metálicos, bandas, herramientas, cadenas, cables que transmiten energía mecánica) están  conectados eléctricamente a tierra (Norma INTE 31-04-02-97 sobre sistemas de protección y dispositivos de seguridad en la maquinaria)</w:t>
            </w:r>
            <w:r w:rsidRPr="00DE6C0E">
              <w:rPr>
                <w:rFonts w:asciiTheme="minorHAnsi" w:hAnsiTheme="minorHAnsi" w:cs="Book Antiqua"/>
                <w:color w:val="FF0000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714B6">
        <w:tc>
          <w:tcPr>
            <w:tcW w:w="6096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2.15.5 Las máquinas tienen las indicaciones de uso y advertencias escritas en español (Norma INTE 31-04-07-97 Seguridad de las Máquinas. Parte 2)</w:t>
            </w:r>
            <w:r w:rsidRPr="00DE6C0E">
              <w:rPr>
                <w:rFonts w:asciiTheme="minorHAnsi" w:hAnsiTheme="minorHAnsi" w:cs="Book Antiqua"/>
                <w:color w:val="FF0000"/>
                <w:sz w:val="22"/>
                <w:szCs w:val="22"/>
              </w:rPr>
              <w:t xml:space="preserve"> </w:t>
            </w:r>
            <w:r w:rsidRPr="005F6763">
              <w:rPr>
                <w:rFonts w:asciiTheme="minorHAnsi" w:hAnsiTheme="minorHAnsi" w:cs="Book Antiqua"/>
                <w:sz w:val="22"/>
                <w:szCs w:val="22"/>
              </w:rPr>
              <w:t>Nota: No aplica en colegio académico</w:t>
            </w: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 w:rsidP="00BE7082">
            <w:pPr>
              <w:numPr>
                <w:ilvl w:val="1"/>
                <w:numId w:val="6"/>
              </w:num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EXTINTORES DE INCENDIO</w:t>
            </w:r>
          </w:p>
        </w:tc>
      </w:tr>
      <w:tr w:rsidR="00682333" w:rsidRPr="0024621F" w:rsidTr="007201AD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2.16.1 Dispone el centro de trabajo de agua a presión y un número suficiente de tomas o bocas con sus respectivas mangueras de pistón.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Art.79, inciso a)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3B5D59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2.16.2 Se dispone de alarma  y de rociadores automáticos de extinción de incendios.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Reglamento General de Seguridad e Higiene del Trabajo. Decreto Ejecutivo N° 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Art.79, inciso b)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5B58CF">
        <w:tc>
          <w:tcPr>
            <w:tcW w:w="6096" w:type="dxa"/>
          </w:tcPr>
          <w:p w:rsidR="00682333" w:rsidRPr="0024621F" w:rsidRDefault="00682333" w:rsidP="005F676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2.16.3 Los extintores están cargados, en condición de operatividad y ubicados en el lugar designado. (Reglamento Técnico sobre uso de extintores portátiles. Decreto Nº25986. Art. 7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, inciso </w:t>
            </w:r>
            <w:r w:rsidRPr="005F6763">
              <w:rPr>
                <w:rFonts w:asciiTheme="minorHAnsi" w:hAnsiTheme="minorHAnsi" w:cs="Garamond"/>
                <w:sz w:val="22"/>
                <w:szCs w:val="22"/>
              </w:rPr>
              <w:t>7.2</w:t>
            </w:r>
            <w:r>
              <w:rPr>
                <w:rFonts w:asciiTheme="minorHAnsi" w:hAnsiTheme="minorHAnsi" w:cs="Garamond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071BF1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2.16.4 Los extintores están localizados en  un lugar accesible, sin obstrucciones u ocultos a la vista y disponibles para su operación (Trayecto de Tránsito).  (Reglamento Técnico sobre uso de extintores portátiles. Decreto Nº25986 Art.  7 inciso 7.5.)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 w:val="restart"/>
          </w:tcPr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BLOQUE II</w:t>
            </w:r>
          </w:p>
          <w:p w:rsidR="00682333" w:rsidRPr="0024621F" w:rsidRDefault="00682333" w:rsidP="00F01698">
            <w:pPr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 w:rsidP="00F01698">
            <w:pPr>
              <w:pStyle w:val="Ttulo1"/>
              <w:jc w:val="both"/>
              <w:rPr>
                <w:rFonts w:asciiTheme="minorHAnsi" w:hAnsiTheme="minorHAnsi" w:cs="Garamond"/>
                <w:b/>
                <w:bCs/>
                <w:i w:val="0"/>
                <w:iCs w:val="0"/>
              </w:rPr>
            </w:pPr>
            <w:r w:rsidRPr="0024621F">
              <w:rPr>
                <w:rFonts w:asciiTheme="minorHAnsi" w:hAnsiTheme="minorHAnsi" w:cs="Garamond"/>
                <w:b/>
                <w:bCs/>
                <w:i w:val="0"/>
                <w:iCs w:val="0"/>
              </w:rPr>
              <w:t>CONDICIONES DE SEGURIDAD EN EL TRABAJO</w:t>
            </w:r>
          </w:p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CUMPLIMIENTO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F01698">
        <w:tc>
          <w:tcPr>
            <w:tcW w:w="6096" w:type="dxa"/>
            <w:vMerge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</w:tcPr>
          <w:p w:rsidR="00682333" w:rsidRPr="0024621F" w:rsidRDefault="00682333" w:rsidP="00F01698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82333" w:rsidRPr="0024621F" w:rsidTr="0033678B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2.16.5 Los extintores  se encuentran sobre ganchos o en sujetadores, montados en gabinetes.  (Reglamento Técnico sobre uso de extintores portátiles. Decreto Nº25986 Art. 7, inciso 7.6.)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E6211A">
        <w:tc>
          <w:tcPr>
            <w:tcW w:w="6096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2.16.6 Si el  peso bruto del extintor  es de 18.14 Kgr  (40 libras) su parte superior (manija)  está a una altura 1.25 mts. Si el peso bruto es superior a las 40 libras su parte superior (manija) está a una altura de 1.07 mts.  (Reglamento Técnico sobre uso de extintores portátiles. Decreto Nº25986. Art. 7 , inciso 7.9)</w:t>
            </w: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901432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5F676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2.16.7 Las instrucciones de manejo están colocadas sobre la parte delantera del extintor en español y destacándose sobre otras rotulaciones.   (Reglamento Técnico sobre uso de extintores portátiles. Decreto Nº25986, Art. 7, inciso 7.</w:t>
            </w:r>
            <w:r>
              <w:rPr>
                <w:rFonts w:asciiTheme="minorHAnsi" w:hAnsiTheme="minorHAnsi" w:cs="Garamond"/>
                <w:sz w:val="22"/>
                <w:szCs w:val="22"/>
              </w:rPr>
              <w:t>10</w:t>
            </w:r>
            <w:r w:rsidRPr="004F4F46">
              <w:rPr>
                <w:rFonts w:asciiTheme="minorHAnsi" w:hAnsiTheme="minorHAnsi" w:cs="Garamond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82333" w:rsidRPr="0024621F" w:rsidTr="00875027">
        <w:tc>
          <w:tcPr>
            <w:tcW w:w="6096" w:type="dxa"/>
            <w:tcBorders>
              <w:bottom w:val="single" w:sz="4" w:space="0" w:color="auto"/>
            </w:tcBorders>
          </w:tcPr>
          <w:p w:rsidR="00682333" w:rsidRPr="0024621F" w:rsidRDefault="00682333" w:rsidP="001561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2.16.8 Se reparan los daños físicos del extintor, (corrosión, escape u obstrucción de mangueras). (Reglamento Técnico sobre uso de extintores portátiles. Decreto Nº25986 Art. 11.2</w:t>
            </w:r>
            <w:r>
              <w:rPr>
                <w:rFonts w:asciiTheme="minorHAnsi" w:hAnsiTheme="minorHAnsi" w:cs="Garamond"/>
                <w:sz w:val="22"/>
                <w:szCs w:val="22"/>
              </w:rPr>
              <w:t>.3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p w:rsidR="00682333" w:rsidRDefault="00682333"/>
    <w:tbl>
      <w:tblPr>
        <w:tblW w:w="100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1134"/>
        <w:gridCol w:w="1702"/>
      </w:tblGrid>
      <w:tr w:rsidR="00750C4D" w:rsidRPr="0024621F">
        <w:trPr>
          <w:cantSplit/>
          <w:trHeight w:val="185"/>
          <w:tblHeader/>
        </w:trPr>
        <w:tc>
          <w:tcPr>
            <w:tcW w:w="6096" w:type="dxa"/>
            <w:vMerge w:val="restart"/>
            <w:tcBorders>
              <w:bottom w:val="nil"/>
            </w:tcBorders>
            <w:shd w:val="clear" w:color="auto" w:fill="D9D9D9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BLOQUE. III</w:t>
            </w: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CONDICIONES DE HIGIENE EN EL TRABAJO</w:t>
            </w:r>
          </w:p>
        </w:tc>
        <w:tc>
          <w:tcPr>
            <w:tcW w:w="3970" w:type="dxa"/>
            <w:gridSpan w:val="3"/>
            <w:tcBorders>
              <w:bottom w:val="nil"/>
            </w:tcBorders>
            <w:shd w:val="clear" w:color="auto" w:fill="D9D9D9"/>
          </w:tcPr>
          <w:p w:rsidR="00750C4D" w:rsidRPr="0024621F" w:rsidRDefault="00750C4D" w:rsidP="0060498B">
            <w:pPr>
              <w:jc w:val="center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</w:tr>
      <w:tr w:rsidR="00682333" w:rsidRPr="0024621F" w:rsidTr="009004EA">
        <w:trPr>
          <w:cantSplit/>
          <w:trHeight w:val="620"/>
          <w:tblHeader/>
        </w:trPr>
        <w:tc>
          <w:tcPr>
            <w:tcW w:w="6096" w:type="dxa"/>
            <w:vMerge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CUMPLE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3.1 RUIDO</w:t>
            </w:r>
          </w:p>
        </w:tc>
      </w:tr>
      <w:tr w:rsidR="00604E93" w:rsidRPr="0024621F" w:rsidTr="00A96599">
        <w:tc>
          <w:tcPr>
            <w:tcW w:w="6096" w:type="dxa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3.1.1 La zona de máquinas está separada de los espacios vecinos por dobles muros.  (Reglamento de construcciones de  Ley  N° 833</w:t>
            </w:r>
            <w:r>
              <w:rPr>
                <w:rFonts w:asciiTheme="minorHAnsi" w:hAnsiTheme="minorHAnsi" w:cs="Garamond"/>
                <w:sz w:val="22"/>
                <w:szCs w:val="22"/>
              </w:rPr>
              <w:t>, art. X-14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Pr="007A745D">
              <w:rPr>
                <w:rFonts w:asciiTheme="minorHAnsi" w:hAnsiTheme="minorHAnsi"/>
                <w:bCs/>
                <w:sz w:val="22"/>
              </w:rPr>
              <w:t>No aplica en colegios académicos</w:t>
            </w:r>
          </w:p>
        </w:tc>
        <w:tc>
          <w:tcPr>
            <w:tcW w:w="1134" w:type="dxa"/>
          </w:tcPr>
          <w:p w:rsidR="00604E93" w:rsidRPr="0024621F" w:rsidRDefault="00604E93">
            <w:pPr>
              <w:ind w:hanging="139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 w:rsidP="00415464">
            <w:pPr>
              <w:ind w:left="-70"/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B67F23">
        <w:tc>
          <w:tcPr>
            <w:tcW w:w="6096" w:type="dxa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3.1.2 En el centro de trabajo donde se genere ruido, existe el informe de evaluación del ruido y programa de control del ruido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T34: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2000  Condiciones de seguridad e higiene en los centros de trabajo donde se genere ruido)</w:t>
            </w:r>
            <w:r w:rsidRPr="007A745D">
              <w:rPr>
                <w:rFonts w:asciiTheme="minorHAnsi" w:hAnsiTheme="minorHAnsi" w:cs="Garamond"/>
                <w:sz w:val="22"/>
                <w:szCs w:val="22"/>
              </w:rPr>
              <w:t xml:space="preserve">Nota: </w:t>
            </w:r>
            <w:r w:rsidRPr="007A745D">
              <w:rPr>
                <w:rFonts w:asciiTheme="minorHAnsi" w:hAnsiTheme="minorHAnsi"/>
                <w:bCs/>
                <w:sz w:val="22"/>
              </w:rPr>
              <w:t>No aplica en colegios académicos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3.2 ILUMINACIÓN</w:t>
            </w:r>
          </w:p>
        </w:tc>
      </w:tr>
      <w:tr w:rsidR="00604E93" w:rsidRPr="0024621F" w:rsidTr="00111BD0">
        <w:tc>
          <w:tcPr>
            <w:tcW w:w="6096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3.2.1 Cuenta el centro de trabajo con iluminación adecuada para la seguridad y conservación de la salud de los trabajadores 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24 y según Norma INTE 31-08-06-2000 Niveles y condiciones de Iluminación que deben de tener los centros de trabajo )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8A0B17">
        <w:tc>
          <w:tcPr>
            <w:tcW w:w="6096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3.2.2 Los lugares que ofrecen peligro de accidente se encuentran especialmente iluminados.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24)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7B0EC1">
        <w:tc>
          <w:tcPr>
            <w:tcW w:w="6096" w:type="dxa"/>
            <w:tcBorders>
              <w:bottom w:val="nil"/>
            </w:tcBorders>
          </w:tcPr>
          <w:p w:rsidR="00604E93" w:rsidRPr="0024621F" w:rsidRDefault="00604E93" w:rsidP="00357B11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3.2.3 La iluminación artificial en pasillos y escaleras, es de 300 lu</w:t>
            </w:r>
            <w:r>
              <w:rPr>
                <w:rFonts w:asciiTheme="minorHAnsi" w:hAnsiTheme="minorHAnsi" w:cs="Garamond"/>
                <w:sz w:val="22"/>
                <w:szCs w:val="22"/>
              </w:rPr>
              <w:t>x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(Reglamento de Ley 7600, Decreto N°26831- MP, Art 137.)</w:t>
            </w:r>
          </w:p>
        </w:tc>
        <w:tc>
          <w:tcPr>
            <w:tcW w:w="1134" w:type="dxa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066" w:type="dxa"/>
            <w:gridSpan w:val="4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3.3 VENTILACIÓN</w:t>
            </w:r>
          </w:p>
        </w:tc>
      </w:tr>
      <w:tr w:rsidR="00604E93" w:rsidRPr="0024621F" w:rsidTr="003B49A6">
        <w:tc>
          <w:tcPr>
            <w:tcW w:w="6096" w:type="dxa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3.3.1 En locales cerrados, el aire se renueva mediante ventilación natural o artificial.  (Reglamento General de Seguridad e Higiene del Trabajo art.21).  La ventilación natural será por medio de ventanas, tragaluces abiertos directamente a patios o al espacio público.   (Reglamento de construcciones de  Ley  N° 833 artículo VIII.10)</w:t>
            </w:r>
            <w:r>
              <w:t xml:space="preserve"> </w:t>
            </w: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 w:rsidTr="007A745D">
        <w:trPr>
          <w:cantSplit/>
        </w:trPr>
        <w:tc>
          <w:tcPr>
            <w:tcW w:w="10066" w:type="dxa"/>
            <w:gridSpan w:val="4"/>
            <w:tcBorders>
              <w:bottom w:val="single" w:sz="4" w:space="0" w:color="auto"/>
            </w:tcBorders>
            <w:shd w:val="pct20" w:color="auto" w:fill="FFFFFF"/>
          </w:tcPr>
          <w:p w:rsidR="00750C4D" w:rsidRPr="0024621F" w:rsidRDefault="00750C4D" w:rsidP="00EA3E89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3.</w:t>
            </w:r>
            <w:r w:rsidR="00EA3E89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 AMBIENTES CALUROSOS</w:t>
            </w:r>
          </w:p>
        </w:tc>
      </w:tr>
      <w:tr w:rsidR="00604E93" w:rsidRPr="0024621F" w:rsidTr="00050FA0">
        <w:tc>
          <w:tcPr>
            <w:tcW w:w="6096" w:type="dxa"/>
            <w:tcBorders>
              <w:bottom w:val="single" w:sz="4" w:space="0" w:color="auto"/>
            </w:tcBorders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3.</w:t>
            </w: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En ambientes de sobrecarga térmica se re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alizan procesos protección como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la aclimatación, ventilación general, refrigeración del local, protección radiante, aislamiento, utilización de ropa protectora  y programas de control metabólico entre otros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T73:2002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Higiene y seguridad Ocupacional. Exposición a ambientes con sobrecarga térmica)</w:t>
            </w:r>
            <w:r w:rsidRPr="00886C3B">
              <w:rPr>
                <w:rFonts w:asciiTheme="minorHAnsi" w:hAnsiTheme="minorHAnsi" w:cs="Garamond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</w:tbl>
    <w:p w:rsidR="00750C4D" w:rsidRDefault="00750C4D">
      <w:pPr>
        <w:jc w:val="both"/>
        <w:rPr>
          <w:rFonts w:asciiTheme="minorHAnsi" w:hAnsiTheme="minorHAnsi" w:cs="Garamond"/>
          <w:sz w:val="22"/>
          <w:szCs w:val="22"/>
        </w:rPr>
      </w:pPr>
    </w:p>
    <w:p w:rsidR="00594571" w:rsidRDefault="00594571">
      <w:pPr>
        <w:jc w:val="both"/>
        <w:rPr>
          <w:rFonts w:asciiTheme="minorHAnsi" w:hAnsiTheme="minorHAnsi" w:cs="Garamond"/>
          <w:sz w:val="22"/>
          <w:szCs w:val="22"/>
        </w:rPr>
      </w:pPr>
    </w:p>
    <w:tbl>
      <w:tblPr>
        <w:tblW w:w="1049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0"/>
        <w:gridCol w:w="6"/>
        <w:gridCol w:w="9"/>
        <w:gridCol w:w="58"/>
        <w:gridCol w:w="1052"/>
        <w:gridCol w:w="15"/>
        <w:gridCol w:w="67"/>
        <w:gridCol w:w="1028"/>
        <w:gridCol w:w="30"/>
        <w:gridCol w:w="9"/>
        <w:gridCol w:w="67"/>
        <w:gridCol w:w="2061"/>
      </w:tblGrid>
      <w:tr w:rsidR="00750C4D" w:rsidRPr="0024621F">
        <w:trPr>
          <w:cantSplit/>
          <w:trHeight w:val="218"/>
          <w:tblHeader/>
        </w:trPr>
        <w:tc>
          <w:tcPr>
            <w:tcW w:w="6096" w:type="dxa"/>
            <w:gridSpan w:val="2"/>
            <w:vMerge w:val="restart"/>
            <w:tcBorders>
              <w:bottom w:val="nil"/>
            </w:tcBorders>
            <w:shd w:val="clear" w:color="auto" w:fill="D9D9D9"/>
          </w:tcPr>
          <w:p w:rsidR="00750C4D" w:rsidRPr="0024621F" w:rsidRDefault="00746E9F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lastRenderedPageBreak/>
              <w:t>BLOQUE. I</w:t>
            </w:r>
            <w:r w:rsidR="00750C4D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V</w:t>
            </w:r>
          </w:p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FACTORES PSICOSOCIALES Y DE ORGANIZACIÓN DEL TRABAJO</w:t>
            </w:r>
          </w:p>
        </w:tc>
        <w:tc>
          <w:tcPr>
            <w:tcW w:w="4396" w:type="dxa"/>
            <w:gridSpan w:val="10"/>
            <w:tcBorders>
              <w:bottom w:val="nil"/>
            </w:tcBorders>
            <w:shd w:val="clear" w:color="auto" w:fill="D9D9D9"/>
          </w:tcPr>
          <w:p w:rsidR="00750C4D" w:rsidRPr="0024621F" w:rsidRDefault="00750C4D" w:rsidP="007F4C3D">
            <w:pPr>
              <w:jc w:val="center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CUMPLIMIENTO</w:t>
            </w:r>
          </w:p>
        </w:tc>
      </w:tr>
      <w:tr w:rsidR="00682333" w:rsidRPr="0024621F" w:rsidTr="006F42B1">
        <w:trPr>
          <w:cantSplit/>
          <w:trHeight w:val="620"/>
          <w:tblHeader/>
        </w:trPr>
        <w:tc>
          <w:tcPr>
            <w:tcW w:w="6096" w:type="dxa"/>
            <w:gridSpan w:val="2"/>
            <w:vMerge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SI  CUMPLE</w:t>
            </w:r>
          </w:p>
        </w:tc>
        <w:tc>
          <w:tcPr>
            <w:tcW w:w="1134" w:type="dxa"/>
            <w:gridSpan w:val="4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NO  CUMPLE</w:t>
            </w:r>
          </w:p>
        </w:tc>
        <w:tc>
          <w:tcPr>
            <w:tcW w:w="2128" w:type="dxa"/>
            <w:gridSpan w:val="2"/>
            <w:tcBorders>
              <w:bottom w:val="nil"/>
            </w:tcBorders>
            <w:shd w:val="clear" w:color="auto" w:fill="D9D9D9"/>
          </w:tcPr>
          <w:p w:rsidR="00682333" w:rsidRPr="0024621F" w:rsidRDefault="0068233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Comentario</w:t>
            </w:r>
          </w:p>
        </w:tc>
      </w:tr>
      <w:tr w:rsidR="00604E93" w:rsidRPr="0024621F" w:rsidTr="00750C8A">
        <w:tc>
          <w:tcPr>
            <w:tcW w:w="6096" w:type="dxa"/>
            <w:gridSpan w:val="2"/>
          </w:tcPr>
          <w:p w:rsidR="00604E93" w:rsidRPr="0024621F" w:rsidRDefault="00604E93" w:rsidP="007A745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asiento de trabajo  permite que el trabajador tenga el tronco erecto, el peso del cuerpo soportado en el brazo del sillón en la parte lateral del cuerpo y los antebrazos aproximadamente horizontales.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T68:1997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1D4A07">
        <w:tc>
          <w:tcPr>
            <w:tcW w:w="6096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En la posición sentado, existe el espacio suficiente para mover el cuerpo( cabeza, brazos, manos, piernas y pies) y que permita: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La posición normal y saludable que libere las piernas enteramente del peso del cuerpo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Colocarse de tal manera que el material con que se trabaje se pueda alcanzar fácilmente.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No se impida la salida del trabajador en caso de un accidente</w:t>
            </w:r>
          </w:p>
          <w:p w:rsidR="00604E93" w:rsidRPr="0024621F" w:rsidRDefault="00604E93" w:rsidP="00BE7082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El cambio de posición a voluntad</w:t>
            </w:r>
          </w:p>
          <w:p w:rsidR="00604E93" w:rsidRPr="0024621F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,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Cap.</w:t>
            </w:r>
            <w:r>
              <w:rPr>
                <w:rFonts w:asciiTheme="minorHAnsi" w:hAnsiTheme="minorHAnsi" w:cs="Garamond"/>
                <w:sz w:val="22"/>
                <w:szCs w:val="22"/>
              </w:rPr>
              <w:t>II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, art. 83 y 84 y 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97 Ergonomía, fundamentos ergonómicos para el diseño de sistemas de trabajo)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621D0C">
        <w:tc>
          <w:tcPr>
            <w:tcW w:w="6096" w:type="dxa"/>
            <w:gridSpan w:val="2"/>
          </w:tcPr>
          <w:p w:rsidR="00604E93" w:rsidRPr="0024621F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La posición del cuerpo del trabajador y sus movimientos  </w:t>
            </w:r>
            <w:r w:rsidRPr="0024621F">
              <w:rPr>
                <w:rFonts w:asciiTheme="minorHAnsi" w:hAnsiTheme="minorHAnsi" w:cs="Garamond"/>
                <w:sz w:val="22"/>
                <w:szCs w:val="22"/>
                <w:u w:val="single"/>
              </w:rPr>
              <w:t>no amerita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tensiones excesivas o innecesarias de los músculos, articulaciones, ligamentos y los sistemas circulatorio y respiratorio.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97 Ergonomía, fundamentos ergonómicos para el diseño de sistemas de trabajo)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F607F7">
        <w:tc>
          <w:tcPr>
            <w:tcW w:w="6096" w:type="dxa"/>
            <w:gridSpan w:val="2"/>
          </w:tcPr>
          <w:p w:rsidR="00604E93" w:rsidRPr="0024621F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</w:t>
            </w: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Se promueve cambios en las posiciones del cuerpo del trabajador para evitar la fatiga muscular estática. (Norma INTE </w:t>
            </w:r>
            <w:r>
              <w:rPr>
                <w:rFonts w:asciiTheme="minorHAnsi" w:hAnsiTheme="minorHAnsi" w:cs="Garamond"/>
                <w:sz w:val="22"/>
                <w:szCs w:val="22"/>
              </w:rPr>
              <w:t>T68:1997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Ergonomía, fundamentos ergonómicos para el diseño de sistemas de trabajo)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pct20" w:color="auto" w:fill="FFFFFF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4.4 EQUIPO DE PROTECCIÓN PERSONAL</w:t>
            </w:r>
          </w:p>
        </w:tc>
      </w:tr>
      <w:tr w:rsidR="00604E93" w:rsidRPr="0024621F" w:rsidTr="00BB6645">
        <w:tc>
          <w:tcPr>
            <w:tcW w:w="6096" w:type="dxa"/>
            <w:gridSpan w:val="2"/>
          </w:tcPr>
          <w:p w:rsidR="00604E93" w:rsidRPr="0024621F" w:rsidRDefault="00604E93">
            <w:pPr>
              <w:pStyle w:val="Textoindependiente2"/>
              <w:rPr>
                <w:rFonts w:asciiTheme="minorHAnsi" w:hAnsiTheme="minorHAnsi"/>
              </w:rPr>
            </w:pPr>
            <w:r w:rsidRPr="0024621F">
              <w:rPr>
                <w:rFonts w:asciiTheme="minorHAnsi" w:hAnsiTheme="minorHAnsi"/>
              </w:rPr>
              <w:t>4.4.1 El patrono proporciona el equipo de protección personal adecuado y en buenas condiciones. (</w:t>
            </w:r>
            <w:r w:rsidRPr="0024621F">
              <w:rPr>
                <w:rFonts w:asciiTheme="minorHAnsi" w:hAnsiTheme="minorHAnsi" w:cs="Book Antiqua"/>
              </w:rPr>
              <w:t>Reglamento General de Seguridad e Higiene del Trabajo. Decreto Ejecutivo N° 1</w:t>
            </w:r>
            <w:r>
              <w:rPr>
                <w:rFonts w:asciiTheme="minorHAnsi" w:hAnsiTheme="minorHAnsi"/>
              </w:rPr>
              <w:t>.Cap. III art 6</w:t>
            </w:r>
            <w:r w:rsidRPr="0024621F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D953BE">
        <w:tc>
          <w:tcPr>
            <w:tcW w:w="6096" w:type="dxa"/>
            <w:gridSpan w:val="2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4.4.2 El trabajador utiliza y cuida el equipo de protección personal otorgado.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 xml:space="preserve">Código de Trabajo, Ley N°2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artículo. 285 y  286)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bottom w:val="nil"/>
            </w:tcBorders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B167F9" w:rsidRPr="0024621F" w:rsidTr="00A516A5">
        <w:trPr>
          <w:cantSplit/>
        </w:trPr>
        <w:tc>
          <w:tcPr>
            <w:tcW w:w="10492" w:type="dxa"/>
            <w:gridSpan w:val="12"/>
            <w:shd w:val="pct20" w:color="auto" w:fill="FFFFFF"/>
          </w:tcPr>
          <w:p w:rsidR="00B167F9" w:rsidRPr="0024621F" w:rsidRDefault="00B167F9" w:rsidP="00A516A5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4.5 SERVICIOS DE BIENESTAR</w:t>
            </w: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pct20" w:color="auto" w:fill="FFFFFF"/>
          </w:tcPr>
          <w:p w:rsidR="00750C4D" w:rsidRPr="0024621F" w:rsidRDefault="00B167F9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Comedores</w:t>
            </w:r>
          </w:p>
        </w:tc>
      </w:tr>
      <w:tr w:rsidR="00604E93" w:rsidRPr="0024621F" w:rsidTr="007D5483">
        <w:trPr>
          <w:cantSplit/>
        </w:trPr>
        <w:tc>
          <w:tcPr>
            <w:tcW w:w="6163" w:type="dxa"/>
            <w:gridSpan w:val="4"/>
            <w:shd w:val="clear" w:color="auto" w:fill="FFFFFF" w:themeFill="background1"/>
          </w:tcPr>
          <w:p w:rsidR="00604E93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Se proporciona </w:t>
            </w:r>
            <w:r>
              <w:rPr>
                <w:rFonts w:asciiTheme="minorHAnsi" w:hAnsiTheme="minorHAnsi" w:cs="Garamond"/>
                <w:sz w:val="22"/>
                <w:szCs w:val="22"/>
              </w:rPr>
              <w:t>a las personas trabajadoras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un local para comer que debe estar bien iluminado, con ventilación, amueblado en forma conveniente y dotado de medios especiales para guardar alimentos, recalentarlos y lavar utensilios.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.art.  97 y 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Código de Trabajo, Ley N°2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 296)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38CD" w:rsidRPr="0024621F">
        <w:trPr>
          <w:cantSplit/>
        </w:trPr>
        <w:tc>
          <w:tcPr>
            <w:tcW w:w="10492" w:type="dxa"/>
            <w:gridSpan w:val="12"/>
            <w:shd w:val="clear" w:color="auto" w:fill="C0C0C0"/>
          </w:tcPr>
          <w:p w:rsidR="004E38CD" w:rsidRPr="0024621F" w:rsidRDefault="004E38CD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lastRenderedPageBreak/>
              <w:t>Servicios sanitarios</w:t>
            </w:r>
          </w:p>
        </w:tc>
      </w:tr>
      <w:tr w:rsidR="00604E93" w:rsidRPr="0024621F" w:rsidTr="003449F1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2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centro de trabajo está provisto de inodoro, letrinas y mingitorios o urinarios separados por sexo.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 Art. 85)</w:t>
            </w:r>
            <w:r>
              <w:rPr>
                <w:rStyle w:val="Refdenotaalpie"/>
                <w:rFonts w:asciiTheme="minorHAnsi" w:hAnsiTheme="minorHAnsi" w:cs="Garamond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E31B0C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3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Los servicios sanitarios tienen agua y papel higiénico.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.Art.85)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5128C6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4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Existe un lavamanos por cada 15 trabajadores.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.. Art  89)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F636E5"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5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patrono proporciona jabón, toallas y cepillos. (</w:t>
            </w:r>
            <w:r w:rsidRPr="0024621F">
              <w:rPr>
                <w:rFonts w:asciiTheme="minorHAnsi" w:hAnsiTheme="minorHAnsi" w:cs="Book Antiqua"/>
                <w:sz w:val="22"/>
                <w:szCs w:val="22"/>
              </w:rPr>
              <w:t>Reglamento General de Seguridad e Higiene del Trabajo. Decreto Ejecutivo N° 1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.Art. 91)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534632">
        <w:tc>
          <w:tcPr>
            <w:tcW w:w="6096" w:type="dxa"/>
            <w:gridSpan w:val="2"/>
          </w:tcPr>
          <w:p w:rsidR="00604E93" w:rsidRPr="0024621F" w:rsidRDefault="00604E93" w:rsidP="00A174EA">
            <w:pPr>
              <w:pStyle w:val="Ttulo1"/>
              <w:jc w:val="both"/>
              <w:rPr>
                <w:rFonts w:asciiTheme="minorHAnsi" w:hAnsiTheme="minorHAnsi" w:cs="Garamond"/>
                <w:b/>
                <w:bCs/>
              </w:rPr>
            </w:pPr>
            <w:r w:rsidRPr="0024621F">
              <w:rPr>
                <w:rFonts w:asciiTheme="minorHAnsi" w:hAnsiTheme="minorHAnsi" w:cs="Garamond"/>
                <w:i w:val="0"/>
                <w:iCs w:val="0"/>
              </w:rPr>
              <w:t>4.5.</w:t>
            </w:r>
            <w:r>
              <w:rPr>
                <w:rFonts w:asciiTheme="minorHAnsi" w:hAnsiTheme="minorHAnsi" w:cs="Garamond"/>
                <w:i w:val="0"/>
                <w:iCs w:val="0"/>
              </w:rPr>
              <w:t>6</w:t>
            </w:r>
            <w:r w:rsidRPr="0024621F">
              <w:rPr>
                <w:rFonts w:asciiTheme="minorHAnsi" w:hAnsiTheme="minorHAnsi" w:cs="Garamond"/>
                <w:i w:val="0"/>
                <w:iCs w:val="0"/>
              </w:rPr>
              <w:t xml:space="preserve"> Los locales destinados a inodoros, mingitorios o baños tienen pisos impermeables, de mosaico u otro material que cumpla este requisito. Además tienen ventanas que den a la calle o los patios de los edificios. (Reglamento de Higiene Industrial Decreto N° 18209-S Art. 38  y  40.)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clear" w:color="auto" w:fill="C0C0C0"/>
          </w:tcPr>
          <w:p w:rsidR="00750C4D" w:rsidRPr="0024621F" w:rsidRDefault="00750C4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Agua Potable</w:t>
            </w:r>
          </w:p>
        </w:tc>
      </w:tr>
      <w:tr w:rsidR="00604E93" w:rsidRPr="0024621F" w:rsidTr="00ED0765">
        <w:trPr>
          <w:trHeight w:val="1136"/>
        </w:trPr>
        <w:tc>
          <w:tcPr>
            <w:tcW w:w="6096" w:type="dxa"/>
            <w:gridSpan w:val="2"/>
          </w:tcPr>
          <w:p w:rsidR="00604E93" w:rsidRPr="0024621F" w:rsidRDefault="00604E93" w:rsidP="00A174EA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4.5.</w:t>
            </w:r>
            <w:r>
              <w:rPr>
                <w:rFonts w:asciiTheme="minorHAnsi" w:hAnsiTheme="minorHAnsi" w:cs="Garamond"/>
                <w:sz w:val="22"/>
                <w:szCs w:val="22"/>
              </w:rPr>
              <w:t>7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 xml:space="preserve"> El agua para atender las necesidades del personal es potable, su suministro es continuo y su presión la necesaria para resguardar un abastecimiento cómodo.  (Reglamento de Higiene Industrial Decreto N° 18209-S Art. 36)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750C4D" w:rsidRPr="0024621F">
        <w:trPr>
          <w:cantSplit/>
        </w:trPr>
        <w:tc>
          <w:tcPr>
            <w:tcW w:w="10492" w:type="dxa"/>
            <w:gridSpan w:val="12"/>
            <w:shd w:val="clear" w:color="auto" w:fill="CCCCCC"/>
          </w:tcPr>
          <w:p w:rsidR="00750C4D" w:rsidRPr="00CB5167" w:rsidRDefault="004E38CD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CB5167"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  <w:t>4.6 Conserjes</w:t>
            </w:r>
          </w:p>
        </w:tc>
      </w:tr>
      <w:tr w:rsidR="00604E93" w:rsidRPr="0024621F" w:rsidTr="00367F27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CB5167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sz w:val="22"/>
                <w:szCs w:val="22"/>
              </w:rPr>
            </w:pPr>
            <w:r w:rsidRPr="00CB5167">
              <w:rPr>
                <w:rFonts w:asciiTheme="minorHAnsi" w:hAnsiTheme="minorHAnsi" w:cs="Garamond"/>
                <w:sz w:val="22"/>
                <w:szCs w:val="22"/>
              </w:rPr>
              <w:t>4.6.1 Los conserjes tienen cocimiento de sus derechos y deberes según lo establecido por la ley (Reglamento de Servicio de Conserjería de las Instituciones Educativas Oficiales.)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04E93" w:rsidRPr="0024621F" w:rsidTr="00F02775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0D533D" w:rsidRDefault="00604E93" w:rsidP="00173A75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CB5167">
              <w:rPr>
                <w:rFonts w:asciiTheme="minorHAnsi" w:hAnsiTheme="minorHAnsi" w:cs="Garamond"/>
                <w:sz w:val="22"/>
                <w:szCs w:val="22"/>
              </w:rPr>
              <w:t>4.6.2 Tienen los conserjes un área establecida para guardar sus utensilios y de limpieza a efecto de conse</w:t>
            </w:r>
            <w:r>
              <w:rPr>
                <w:rFonts w:asciiTheme="minorHAnsi" w:hAnsiTheme="minorHAnsi" w:cs="Garamond"/>
                <w:sz w:val="22"/>
                <w:szCs w:val="22"/>
              </w:rPr>
              <w:t>rvar y preservar su buen estado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 (Reglamento de Servicio de Conserjería</w:t>
            </w:r>
            <w:r w:rsidR="00173A75"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>de las Instituciones Educativas Oficiales. Capitulo VIII Art 44)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 w:rsidP="00C27517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0D533D" w:rsidRDefault="00604E93" w:rsidP="00C27517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 w:rsidP="00C27517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04E93" w:rsidRPr="0024621F" w:rsidTr="00F3345E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CB5167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lastRenderedPageBreak/>
              <w:t>4.6.3 Se lleva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 un inventario mensual de los implementos existentes, o del faltante de éstos para ser inmediatamente suplidos.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 (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>Reglamento de Servicio de Conserjería</w:t>
            </w:r>
          </w:p>
          <w:p w:rsidR="00604E93" w:rsidRPr="00CB5167" w:rsidRDefault="00604E93" w:rsidP="00CB5167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CB5167">
              <w:rPr>
                <w:rFonts w:asciiTheme="minorHAnsi" w:hAnsiTheme="minorHAnsi" w:cs="Garamond"/>
                <w:sz w:val="22"/>
                <w:szCs w:val="22"/>
              </w:rPr>
              <w:t>de las Instituciones Educativas Oficiales. Capitulo VIII Art 44)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04E93" w:rsidRPr="0024621F" w:rsidTr="00F13BDA">
        <w:trPr>
          <w:cantSplit/>
        </w:trPr>
        <w:tc>
          <w:tcPr>
            <w:tcW w:w="6090" w:type="dxa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 xml:space="preserve">4.6.4 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Los conserjes tienen la </w:t>
            </w:r>
            <w:r w:rsidRPr="00CB5167">
              <w:rPr>
                <w:rFonts w:asciiTheme="minorHAnsi" w:hAnsiTheme="minorHAnsi"/>
                <w:sz w:val="22"/>
              </w:rPr>
              <w:t>Capacitación obligatoria de salud y seguridad</w:t>
            </w:r>
            <w:r w:rsidRPr="00CB5167">
              <w:rPr>
                <w:rFonts w:asciiTheme="minorHAnsi" w:hAnsiTheme="minorHAnsi" w:cs="Garamond"/>
                <w:sz w:val="24"/>
                <w:szCs w:val="22"/>
              </w:rPr>
              <w:t xml:space="preserve"> 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>(</w:t>
            </w:r>
            <w:r w:rsidRPr="00CB5167">
              <w:rPr>
                <w:rFonts w:asciiTheme="minorHAnsi" w:hAnsiTheme="minorHAnsi" w:cs="Book Antiqua"/>
                <w:sz w:val="22"/>
                <w:szCs w:val="22"/>
              </w:rPr>
              <w:t>Guía de capacitación en seguridad para conserjes, Paginas 17-20,</w:t>
            </w:r>
            <w:r w:rsidRPr="00CB5167">
              <w:t xml:space="preserve"> </w:t>
            </w:r>
            <w:r w:rsidRPr="00CB5167">
              <w:rPr>
                <w:rFonts w:asciiTheme="minorHAnsi" w:hAnsiTheme="minorHAnsi"/>
                <w:sz w:val="22"/>
              </w:rPr>
              <w:t xml:space="preserve">Norma del Programa de Prevención de Lesiones y Enfermedades Artículos 1509 y 3203, </w:t>
            </w:r>
            <w:r w:rsidRPr="00CB5167">
              <w:rPr>
                <w:rFonts w:asciiTheme="minorHAnsi" w:hAnsiTheme="minorHAnsi"/>
                <w:sz w:val="22"/>
                <w:szCs w:val="22"/>
              </w:rPr>
              <w:t>Título 8, CCR, Artículo 3220, Título 8, CCR, Artículo 5194, Título 8, CCR</w:t>
            </w:r>
            <w:r w:rsidRPr="00CB5167">
              <w:rPr>
                <w:rFonts w:asciiTheme="minorHAnsi" w:hAnsiTheme="minorHAnsi" w:cs="Garamond"/>
                <w:sz w:val="22"/>
                <w:szCs w:val="22"/>
              </w:rPr>
              <w:t xml:space="preserve">  )</w:t>
            </w:r>
          </w:p>
        </w:tc>
        <w:tc>
          <w:tcPr>
            <w:tcW w:w="1140" w:type="dxa"/>
            <w:gridSpan w:val="5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604E93" w:rsidRPr="004A24A3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67" w:type="dxa"/>
            <w:gridSpan w:val="4"/>
            <w:shd w:val="clear" w:color="auto" w:fill="FFFFFF" w:themeFill="background1"/>
          </w:tcPr>
          <w:p w:rsidR="00604E93" w:rsidRPr="000D533D" w:rsidRDefault="00604E93">
            <w:pPr>
              <w:jc w:val="both"/>
              <w:rPr>
                <w:rFonts w:asciiTheme="minorHAnsi" w:hAnsiTheme="minorHAnsi" w:cs="Garamond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4E38CD" w:rsidRPr="004A24A3" w:rsidTr="004A24A3">
        <w:trPr>
          <w:cantSplit/>
        </w:trPr>
        <w:tc>
          <w:tcPr>
            <w:tcW w:w="10492" w:type="dxa"/>
            <w:gridSpan w:val="12"/>
            <w:shd w:val="clear" w:color="auto" w:fill="D9D9D9" w:themeFill="background1" w:themeFillShade="D9"/>
          </w:tcPr>
          <w:p w:rsidR="004E38CD" w:rsidRPr="004A24A3" w:rsidRDefault="003F02CA" w:rsidP="004A24A3">
            <w:pPr>
              <w:jc w:val="both"/>
              <w:rPr>
                <w:rFonts w:asciiTheme="minorHAnsi" w:hAnsiTheme="minorHAnsi" w:cs="Garamond"/>
                <w:b/>
                <w:i/>
                <w:sz w:val="22"/>
                <w:szCs w:val="22"/>
              </w:rPr>
            </w:pPr>
            <w:r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4.7</w:t>
            </w:r>
            <w:r w:rsidR="008525BB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 Para </w:t>
            </w:r>
            <w:r w:rsidR="008311E5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l</w:t>
            </w:r>
            <w:r w:rsid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a</w:t>
            </w:r>
            <w:r w:rsidR="008311E5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s </w:t>
            </w:r>
            <w:r w:rsid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 personas encargada</w:t>
            </w:r>
            <w:r w:rsidR="008311E5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>s de</w:t>
            </w:r>
            <w:r w:rsidR="008525BB" w:rsidRPr="004A24A3">
              <w:rPr>
                <w:rFonts w:asciiTheme="minorHAnsi" w:hAnsiTheme="minorHAnsi" w:cs="Garamond"/>
                <w:b/>
                <w:i/>
                <w:sz w:val="22"/>
                <w:szCs w:val="22"/>
              </w:rPr>
              <w:t xml:space="preserve"> la elaboración de los alimentos  </w:t>
            </w:r>
          </w:p>
        </w:tc>
      </w:tr>
      <w:tr w:rsidR="00604E93" w:rsidRPr="0024621F" w:rsidTr="003B156B">
        <w:trPr>
          <w:cantSplit/>
        </w:trPr>
        <w:tc>
          <w:tcPr>
            <w:tcW w:w="6105" w:type="dxa"/>
            <w:gridSpan w:val="3"/>
            <w:shd w:val="clear" w:color="auto" w:fill="auto"/>
          </w:tcPr>
          <w:p w:rsidR="00604E93" w:rsidRPr="004A24A3" w:rsidRDefault="00604E93" w:rsidP="008311E5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Cs/>
                <w:sz w:val="22"/>
                <w:szCs w:val="22"/>
              </w:rPr>
              <w:t xml:space="preserve">4.7.1 </w:t>
            </w: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 xml:space="preserve">Tienen </w:t>
            </w:r>
            <w:r>
              <w:rPr>
                <w:rFonts w:asciiTheme="minorHAnsi" w:hAnsiTheme="minorHAnsi" w:cs="Garamond"/>
                <w:bCs/>
                <w:sz w:val="22"/>
                <w:szCs w:val="22"/>
              </w:rPr>
              <w:t xml:space="preserve">las personas </w:t>
            </w: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encargad</w:t>
            </w:r>
            <w:r>
              <w:rPr>
                <w:rFonts w:asciiTheme="minorHAnsi" w:hAnsiTheme="minorHAnsi" w:cs="Garamond"/>
                <w:bCs/>
                <w:sz w:val="22"/>
                <w:szCs w:val="22"/>
              </w:rPr>
              <w:t>a</w:t>
            </w: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s de la elaboración de los alimentos ganado el curso obligatorio para la manipulación de los alimentos (Decreto N° 36666. Reglamento para el otorgamiento del carné de manipuladores de alimentos y reconocimiento de la oficialización de capacitadores del curso de manipulación de alimentos por parte del Instituto Nacional de Aprendizaje.</w:t>
            </w:r>
          </w:p>
          <w:p w:rsidR="00604E93" w:rsidRPr="004A24A3" w:rsidRDefault="00604E93" w:rsidP="008311E5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Contenido curricular oficial para el curso de manipulación de alimentos y Perfil del Instructor.</w:t>
            </w:r>
          </w:p>
          <w:p w:rsidR="00604E93" w:rsidRPr="004A24A3" w:rsidRDefault="00604E93" w:rsidP="008311E5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  <w:r w:rsidRPr="004A24A3">
              <w:rPr>
                <w:rFonts w:asciiTheme="minorHAnsi" w:hAnsiTheme="minorHAnsi" w:cs="Garamond"/>
                <w:bCs/>
                <w:sz w:val="22"/>
                <w:szCs w:val="22"/>
              </w:rPr>
              <w:t>Guía de Evaluación Sanitaria de Servicios de Alimentación al Público.)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604E93" w:rsidRPr="004A24A3" w:rsidRDefault="00604E93" w:rsidP="003F02CA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</w:p>
        </w:tc>
        <w:tc>
          <w:tcPr>
            <w:tcW w:w="1140" w:type="dxa"/>
            <w:gridSpan w:val="4"/>
            <w:shd w:val="clear" w:color="auto" w:fill="auto"/>
          </w:tcPr>
          <w:p w:rsidR="00604E93" w:rsidRPr="004A24A3" w:rsidRDefault="00604E93" w:rsidP="003F02CA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</w:p>
        </w:tc>
        <w:tc>
          <w:tcPr>
            <w:tcW w:w="2137" w:type="dxa"/>
            <w:gridSpan w:val="3"/>
            <w:shd w:val="clear" w:color="auto" w:fill="auto"/>
          </w:tcPr>
          <w:p w:rsidR="00604E93" w:rsidRPr="004A24A3" w:rsidRDefault="00604E93" w:rsidP="003F02CA">
            <w:pPr>
              <w:jc w:val="both"/>
              <w:rPr>
                <w:rFonts w:asciiTheme="minorHAnsi" w:hAnsiTheme="minorHAnsi" w:cs="Garamond"/>
                <w:bCs/>
                <w:sz w:val="22"/>
                <w:szCs w:val="22"/>
              </w:rPr>
            </w:pPr>
          </w:p>
        </w:tc>
      </w:tr>
      <w:tr w:rsidR="003F02CA" w:rsidRPr="0024621F">
        <w:trPr>
          <w:cantSplit/>
        </w:trPr>
        <w:tc>
          <w:tcPr>
            <w:tcW w:w="10492" w:type="dxa"/>
            <w:gridSpan w:val="12"/>
            <w:shd w:val="clear" w:color="auto" w:fill="CCCCCC"/>
          </w:tcPr>
          <w:p w:rsidR="003F02CA" w:rsidRPr="0024621F" w:rsidRDefault="004A24A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4.8</w:t>
            </w:r>
            <w:r w:rsidR="003F02CA" w:rsidRPr="003F02CA">
              <w:rPr>
                <w:rFonts w:asciiTheme="minorHAnsi" w:hAnsiTheme="minorHAnsi" w:cs="Garamon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3F02CA" w:rsidRPr="0024621F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VIOLENCIA EN EL LUGAR DE TRABAJO</w:t>
            </w:r>
          </w:p>
        </w:tc>
      </w:tr>
      <w:tr w:rsidR="00604E93" w:rsidRPr="0024621F" w:rsidTr="00733F3F">
        <w:tc>
          <w:tcPr>
            <w:tcW w:w="6096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>
              <w:rPr>
                <w:rFonts w:asciiTheme="minorHAnsi" w:hAnsiTheme="minorHAnsi" w:cs="Garamond"/>
                <w:sz w:val="22"/>
                <w:szCs w:val="22"/>
              </w:rPr>
              <w:t xml:space="preserve">4.8.1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Existen políticas internas que prevenga, desaliente, evite y sancione conductas de hostigamiento sexual en el centro de trabajo. (Ley N° 7476 Ley contra el hostigamiento sexual en el empleo y la docencia. Art. 5)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RPr="0024621F" w:rsidTr="005020B9">
        <w:tc>
          <w:tcPr>
            <w:tcW w:w="6096" w:type="dxa"/>
            <w:gridSpan w:val="2"/>
          </w:tcPr>
          <w:p w:rsidR="00604E93" w:rsidRPr="0024621F" w:rsidRDefault="00604E93" w:rsidP="004A24A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  <w:r w:rsidRPr="0024621F">
              <w:rPr>
                <w:rFonts w:asciiTheme="minorHAnsi" w:hAnsiTheme="minorHAnsi" w:cs="Garamond"/>
                <w:sz w:val="22"/>
                <w:szCs w:val="22"/>
              </w:rPr>
              <w:t>4.</w:t>
            </w:r>
            <w:r>
              <w:rPr>
                <w:rFonts w:asciiTheme="minorHAnsi" w:hAnsiTheme="minorHAnsi" w:cs="Garamond"/>
                <w:sz w:val="22"/>
                <w:szCs w:val="22"/>
              </w:rPr>
              <w:t>8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.2</w:t>
            </w:r>
            <w:r>
              <w:rPr>
                <w:rFonts w:asciiTheme="minorHAnsi" w:hAnsiTheme="minorHAnsi" w:cs="Garamond"/>
                <w:sz w:val="22"/>
                <w:szCs w:val="22"/>
              </w:rPr>
              <w:t xml:space="preserve"> </w:t>
            </w:r>
            <w:r w:rsidRPr="0024621F">
              <w:rPr>
                <w:rFonts w:asciiTheme="minorHAnsi" w:hAnsiTheme="minorHAnsi" w:cs="Garamond"/>
                <w:sz w:val="22"/>
                <w:szCs w:val="22"/>
              </w:rPr>
              <w:t>Existe un ambiente de respeto en el cual no se maltrate de palabra o de obra al trabajador (Código de Trabajo Ley N° 2 Art 69 inciso c)</w:t>
            </w: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Pr="0024621F" w:rsidRDefault="00604E93">
            <w:pPr>
              <w:jc w:val="both"/>
              <w:rPr>
                <w:rFonts w:asciiTheme="minorHAnsi" w:hAnsiTheme="minorHAnsi" w:cs="Garamond"/>
                <w:sz w:val="22"/>
                <w:szCs w:val="22"/>
              </w:rPr>
            </w:pPr>
          </w:p>
        </w:tc>
      </w:tr>
      <w:tr w:rsidR="00604E93" w:rsidTr="00DC4705">
        <w:tc>
          <w:tcPr>
            <w:tcW w:w="10492" w:type="dxa"/>
            <w:gridSpan w:val="12"/>
            <w:shd w:val="clear" w:color="auto" w:fill="CCCCCC"/>
          </w:tcPr>
          <w:p w:rsidR="00604E93" w:rsidRPr="00604E93" w:rsidRDefault="00604E93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604E93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4.9 EL FUMADO EN EL LUGAR DE TRABAJO</w:t>
            </w:r>
          </w:p>
        </w:tc>
      </w:tr>
      <w:tr w:rsidR="00604E93" w:rsidTr="002042AF">
        <w:tc>
          <w:tcPr>
            <w:tcW w:w="6096" w:type="dxa"/>
            <w:gridSpan w:val="2"/>
          </w:tcPr>
          <w:p w:rsidR="00604E93" w:rsidRDefault="00604E93" w:rsidP="004A24A3">
            <w:pPr>
              <w:pStyle w:val="Ttulo1"/>
              <w:jc w:val="both"/>
              <w:rPr>
                <w:rFonts w:ascii="Garamond" w:hAnsi="Garamond" w:cs="Garamond"/>
                <w:i w:val="0"/>
                <w:iCs w:val="0"/>
              </w:rPr>
            </w:pPr>
            <w:r>
              <w:rPr>
                <w:rFonts w:ascii="Garamond" w:hAnsi="Garamond" w:cs="Garamond"/>
                <w:i w:val="0"/>
                <w:iCs w:val="0"/>
              </w:rPr>
              <w:t>4.9.1 En los centros de trabajo se encuentran rótulos que indiquen “Prohibido fumar, ambiente libre de humo de tabaco”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(</w:t>
            </w:r>
            <w:r w:rsidRPr="00DD2473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Ley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General de Control del Tabaco y sus Efectos. Ley 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N°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9028  Art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6)</w:t>
            </w: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604E93" w:rsidTr="00E20AE8">
        <w:tc>
          <w:tcPr>
            <w:tcW w:w="6096" w:type="dxa"/>
            <w:gridSpan w:val="2"/>
          </w:tcPr>
          <w:p w:rsidR="00604E93" w:rsidRDefault="00604E93" w:rsidP="004A24A3">
            <w:pPr>
              <w:pStyle w:val="Ttulo1"/>
              <w:jc w:val="both"/>
              <w:rPr>
                <w:rFonts w:ascii="Garamond" w:hAnsi="Garamond" w:cs="Garamond"/>
                <w:i w:val="0"/>
                <w:iCs w:val="0"/>
              </w:rPr>
            </w:pPr>
            <w:r>
              <w:rPr>
                <w:rFonts w:ascii="Garamond" w:hAnsi="Garamond" w:cs="Garamond"/>
                <w:i w:val="0"/>
                <w:iCs w:val="0"/>
              </w:rPr>
              <w:t xml:space="preserve">4.9.2 El patrono le da permiso a los trabajadores con diagnóstico de adicción al tabaco y sus derivados a que asistan al IAFA o la CCSS para su atención.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(</w:t>
            </w:r>
            <w:r w:rsidRPr="00DD2473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Ley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General de Control del Tabaco y sus Efectos. Ley 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N°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9028  Art.</w:t>
            </w:r>
            <w:r w:rsidRPr="00AC3DAC"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aramond" w:hAnsi="Garamond" w:cs="Garamond"/>
                <w:i w:val="0"/>
                <w:iCs w:val="0"/>
                <w:sz w:val="18"/>
                <w:szCs w:val="18"/>
                <w:lang w:val="es-ES"/>
              </w:rPr>
              <w:t>7)</w:t>
            </w: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128" w:type="dxa"/>
            <w:gridSpan w:val="2"/>
          </w:tcPr>
          <w:p w:rsidR="00604E93" w:rsidRDefault="00604E93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:rsidR="00594571" w:rsidRDefault="000F5F9E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116205</wp:posOffset>
                </wp:positionV>
                <wp:extent cx="6791325" cy="9715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5911F" id="Rectángulo 1" o:spid="_x0000_s1026" style="position:absolute;margin-left:-29.55pt;margin-top:9.15pt;width:534.7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" filled="f" strokecolor="black [3213]" strokeweight="2pt"/>
            </w:pict>
          </mc:Fallback>
        </mc:AlternateContent>
      </w:r>
    </w:p>
    <w:p w:rsidR="000F5F9E" w:rsidRDefault="00E85A1B" w:rsidP="000F5F9E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Book Antiqua" w:hAnsi="Book Antiqua" w:cs="Book Antiqua"/>
        </w:rPr>
        <w:t xml:space="preserve">Nombre y Firma de las personas que llenaron la información </w:t>
      </w:r>
    </w:p>
    <w:p w:rsidR="00594571" w:rsidRDefault="00594571" w:rsidP="000F5F9E">
      <w:pPr>
        <w:ind w:right="-1227"/>
        <w:jc w:val="both"/>
        <w:rPr>
          <w:rFonts w:ascii="Garamond" w:hAnsi="Garamond" w:cs="Garamond"/>
          <w:sz w:val="22"/>
          <w:szCs w:val="22"/>
        </w:rPr>
      </w:pPr>
    </w:p>
    <w:sectPr w:rsidR="00594571" w:rsidSect="00CD01A4">
      <w:headerReference w:type="default" r:id="rId9"/>
      <w:footerReference w:type="even" r:id="rId10"/>
      <w:footerReference w:type="default" r:id="rId11"/>
      <w:pgSz w:w="12240" w:h="15840"/>
      <w:pgMar w:top="2268" w:right="2268" w:bottom="1418" w:left="1701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42" w:rsidRDefault="00735042">
      <w:r>
        <w:separator/>
      </w:r>
    </w:p>
  </w:endnote>
  <w:endnote w:type="continuationSeparator" w:id="0">
    <w:p w:rsidR="00735042" w:rsidRDefault="007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B5" w:rsidRDefault="00FD44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44B5" w:rsidRDefault="00FD44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0314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D01A4" w:rsidRDefault="00CD01A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D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D6A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44B5" w:rsidRDefault="00FD44B5">
    <w:pPr>
      <w:pStyle w:val="Piedepgina"/>
      <w:pBdr>
        <w:top w:val="double" w:sz="4" w:space="1" w:color="auto"/>
      </w:pBdr>
      <w:ind w:right="360"/>
      <w:rPr>
        <w:rFonts w:ascii="Tahoma" w:hAnsi="Tahoma" w:cs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42" w:rsidRDefault="00735042">
      <w:r>
        <w:separator/>
      </w:r>
    </w:p>
  </w:footnote>
  <w:footnote w:type="continuationSeparator" w:id="0">
    <w:p w:rsidR="00735042" w:rsidRDefault="00735042">
      <w:r>
        <w:continuationSeparator/>
      </w:r>
    </w:p>
  </w:footnote>
  <w:footnote w:id="1">
    <w:p w:rsidR="00604E93" w:rsidRPr="00594571" w:rsidRDefault="00604E93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24621F">
        <w:rPr>
          <w:rFonts w:asciiTheme="minorHAnsi" w:hAnsiTheme="minorHAnsi" w:cs="Garamond"/>
          <w:sz w:val="22"/>
          <w:szCs w:val="22"/>
        </w:rPr>
        <w:t>Se dispondrá de un inodoro por cada 20  trabajadores y de uno por cada 15 trabajadoras cuando el total de trabajadores sea menor de 100; cuando exceda de este monto deberá instalarse un inodoro adicional por cada 28 trabajadores y existirá por lo menos un urinario por cada 20 trabajadores. (</w:t>
      </w:r>
      <w:r w:rsidRPr="0024621F">
        <w:rPr>
          <w:rFonts w:asciiTheme="minorHAnsi" w:hAnsiTheme="minorHAnsi" w:cs="Book Antiqua"/>
          <w:sz w:val="22"/>
          <w:szCs w:val="22"/>
        </w:rPr>
        <w:t>Reglamento General de Seguridad e Higiene del Trabajo. Decreto Ejecutivo N° 1</w:t>
      </w:r>
      <w:r w:rsidRPr="0024621F">
        <w:rPr>
          <w:rFonts w:asciiTheme="minorHAnsi" w:hAnsiTheme="minorHAnsi" w:cs="Garamond"/>
          <w:sz w:val="22"/>
          <w:szCs w:val="22"/>
        </w:rPr>
        <w:t>... Art. 86)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B5" w:rsidRDefault="00735042" w:rsidP="00395B47">
    <w:pPr>
      <w:pStyle w:val="Encabezado"/>
      <w:tabs>
        <w:tab w:val="clear" w:pos="4252"/>
        <w:tab w:val="clear" w:pos="8504"/>
        <w:tab w:val="center" w:pos="426"/>
        <w:tab w:val="right" w:pos="9498"/>
      </w:tabs>
      <w:rPr>
        <w:b/>
        <w:bCs/>
        <w:color w:val="008000"/>
        <w:lang w:val="es-CR"/>
      </w:rPr>
    </w:pPr>
    <w:r>
      <w:rPr>
        <w:b/>
        <w:bCs/>
        <w:noProof/>
        <w:color w:val="008000"/>
        <w:lang w:val="es-C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0.45pt;margin-top:-9.4pt;width:77.25pt;height:54.55pt;z-index:251658240">
          <v:imagedata r:id="rId1" o:title=""/>
        </v:shape>
        <o:OLEObject Type="Embed" ProgID="PBrush" ShapeID="_x0000_s2049" DrawAspect="Content" ObjectID="_1643186238" r:id="rId2"/>
      </w:object>
    </w:r>
    <w:r w:rsidR="008E6A15">
      <w:rPr>
        <w:b/>
        <w:bCs/>
        <w:color w:val="008000"/>
        <w:lang w:val="es-CR"/>
      </w:rPr>
      <w:t xml:space="preserve">Ministerio de Educación Pública  </w:t>
    </w:r>
  </w:p>
  <w:p w:rsidR="00FD44B5" w:rsidRDefault="00FD44B5" w:rsidP="00395B47">
    <w:pPr>
      <w:pStyle w:val="Encabezado"/>
      <w:rPr>
        <w:b/>
        <w:bCs/>
        <w:color w:val="008000"/>
        <w:sz w:val="20"/>
        <w:szCs w:val="20"/>
        <w:lang w:val="es-CR"/>
      </w:rPr>
    </w:pPr>
    <w:r>
      <w:rPr>
        <w:b/>
        <w:bCs/>
        <w:color w:val="008000"/>
        <w:sz w:val="20"/>
        <w:szCs w:val="20"/>
        <w:lang w:val="es-CR"/>
      </w:rPr>
      <w:t>San José, Costa Rica, América Central</w:t>
    </w:r>
  </w:p>
  <w:p w:rsidR="00FD44B5" w:rsidRDefault="00FD44B5">
    <w:pPr>
      <w:pStyle w:val="Encabezado"/>
      <w:pBdr>
        <w:bottom w:val="doub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256"/>
    <w:multiLevelType w:val="multilevel"/>
    <w:tmpl w:val="C692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B256024"/>
    <w:multiLevelType w:val="multilevel"/>
    <w:tmpl w:val="FCDC2D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FF50C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09E38C2"/>
    <w:multiLevelType w:val="multilevel"/>
    <w:tmpl w:val="31EEB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C922FE"/>
    <w:multiLevelType w:val="hybridMultilevel"/>
    <w:tmpl w:val="28828B2E"/>
    <w:lvl w:ilvl="0" w:tplc="0C0A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6647B"/>
    <w:multiLevelType w:val="multilevel"/>
    <w:tmpl w:val="2B9A33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55C0DB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E"/>
    <w:rsid w:val="000006F3"/>
    <w:rsid w:val="000117D5"/>
    <w:rsid w:val="00015892"/>
    <w:rsid w:val="00026FF7"/>
    <w:rsid w:val="00031E2B"/>
    <w:rsid w:val="00036EDF"/>
    <w:rsid w:val="00037827"/>
    <w:rsid w:val="00045F2D"/>
    <w:rsid w:val="00050C50"/>
    <w:rsid w:val="00062EFE"/>
    <w:rsid w:val="00063754"/>
    <w:rsid w:val="00063814"/>
    <w:rsid w:val="00081DE3"/>
    <w:rsid w:val="000B7BCB"/>
    <w:rsid w:val="000C0860"/>
    <w:rsid w:val="000D1673"/>
    <w:rsid w:val="000D371A"/>
    <w:rsid w:val="000D4CF2"/>
    <w:rsid w:val="000D533D"/>
    <w:rsid w:val="000D5440"/>
    <w:rsid w:val="000E1A4E"/>
    <w:rsid w:val="000F08CF"/>
    <w:rsid w:val="000F5F9E"/>
    <w:rsid w:val="00102A51"/>
    <w:rsid w:val="001120BF"/>
    <w:rsid w:val="001143B6"/>
    <w:rsid w:val="00114C48"/>
    <w:rsid w:val="00117992"/>
    <w:rsid w:val="00132A85"/>
    <w:rsid w:val="00134AC3"/>
    <w:rsid w:val="00147CD8"/>
    <w:rsid w:val="0015310E"/>
    <w:rsid w:val="0015349C"/>
    <w:rsid w:val="001561EA"/>
    <w:rsid w:val="00157B4B"/>
    <w:rsid w:val="00163828"/>
    <w:rsid w:val="001656C3"/>
    <w:rsid w:val="00167C6E"/>
    <w:rsid w:val="001706C5"/>
    <w:rsid w:val="00171AEE"/>
    <w:rsid w:val="00173A75"/>
    <w:rsid w:val="00173E33"/>
    <w:rsid w:val="00175C51"/>
    <w:rsid w:val="001770D9"/>
    <w:rsid w:val="00183F55"/>
    <w:rsid w:val="00191280"/>
    <w:rsid w:val="001A2272"/>
    <w:rsid w:val="001A3710"/>
    <w:rsid w:val="001B48D1"/>
    <w:rsid w:val="001C012C"/>
    <w:rsid w:val="001C06A8"/>
    <w:rsid w:val="001C0C15"/>
    <w:rsid w:val="001C42FC"/>
    <w:rsid w:val="001C5F78"/>
    <w:rsid w:val="001C7FD7"/>
    <w:rsid w:val="001D260C"/>
    <w:rsid w:val="001D4A22"/>
    <w:rsid w:val="001D6AD5"/>
    <w:rsid w:val="001E3FC3"/>
    <w:rsid w:val="001E69FD"/>
    <w:rsid w:val="001F0CC7"/>
    <w:rsid w:val="001F2004"/>
    <w:rsid w:val="001F4B00"/>
    <w:rsid w:val="00200123"/>
    <w:rsid w:val="00202FB8"/>
    <w:rsid w:val="0021264B"/>
    <w:rsid w:val="00216BF5"/>
    <w:rsid w:val="00224C36"/>
    <w:rsid w:val="0022589F"/>
    <w:rsid w:val="00226702"/>
    <w:rsid w:val="002277E5"/>
    <w:rsid w:val="00231E45"/>
    <w:rsid w:val="0023591E"/>
    <w:rsid w:val="00241161"/>
    <w:rsid w:val="00242DF4"/>
    <w:rsid w:val="002431EB"/>
    <w:rsid w:val="002436F7"/>
    <w:rsid w:val="00245FED"/>
    <w:rsid w:val="0024621F"/>
    <w:rsid w:val="00263482"/>
    <w:rsid w:val="00264C2C"/>
    <w:rsid w:val="00267270"/>
    <w:rsid w:val="00272EAE"/>
    <w:rsid w:val="0027428D"/>
    <w:rsid w:val="00283F98"/>
    <w:rsid w:val="0029173D"/>
    <w:rsid w:val="002A1EC2"/>
    <w:rsid w:val="002A3D84"/>
    <w:rsid w:val="002B76AD"/>
    <w:rsid w:val="002B7B99"/>
    <w:rsid w:val="002C13F0"/>
    <w:rsid w:val="002C1570"/>
    <w:rsid w:val="002C398D"/>
    <w:rsid w:val="002C3AD4"/>
    <w:rsid w:val="002C4364"/>
    <w:rsid w:val="002C6E3C"/>
    <w:rsid w:val="002D4EC5"/>
    <w:rsid w:val="002D5FBF"/>
    <w:rsid w:val="002D7AB7"/>
    <w:rsid w:val="002E1EF4"/>
    <w:rsid w:val="002F15F3"/>
    <w:rsid w:val="002F1E0A"/>
    <w:rsid w:val="002F642A"/>
    <w:rsid w:val="002F680F"/>
    <w:rsid w:val="002F6D6A"/>
    <w:rsid w:val="002F70F3"/>
    <w:rsid w:val="00300745"/>
    <w:rsid w:val="00304750"/>
    <w:rsid w:val="00307020"/>
    <w:rsid w:val="00314C48"/>
    <w:rsid w:val="003253A4"/>
    <w:rsid w:val="0033248E"/>
    <w:rsid w:val="0033329C"/>
    <w:rsid w:val="003341C0"/>
    <w:rsid w:val="0033655F"/>
    <w:rsid w:val="00342D67"/>
    <w:rsid w:val="00343D50"/>
    <w:rsid w:val="00344077"/>
    <w:rsid w:val="00350335"/>
    <w:rsid w:val="00353E9B"/>
    <w:rsid w:val="00357B11"/>
    <w:rsid w:val="00361C28"/>
    <w:rsid w:val="00364F10"/>
    <w:rsid w:val="00366CBB"/>
    <w:rsid w:val="00375EFF"/>
    <w:rsid w:val="00382A48"/>
    <w:rsid w:val="00387EB9"/>
    <w:rsid w:val="00395B47"/>
    <w:rsid w:val="003B1DA0"/>
    <w:rsid w:val="003B265C"/>
    <w:rsid w:val="003B51D6"/>
    <w:rsid w:val="003D0C89"/>
    <w:rsid w:val="003D147E"/>
    <w:rsid w:val="003D2EE9"/>
    <w:rsid w:val="003D74ED"/>
    <w:rsid w:val="003F02CA"/>
    <w:rsid w:val="00401812"/>
    <w:rsid w:val="0040762A"/>
    <w:rsid w:val="00407EF5"/>
    <w:rsid w:val="00415464"/>
    <w:rsid w:val="0042294E"/>
    <w:rsid w:val="004318F9"/>
    <w:rsid w:val="0043206F"/>
    <w:rsid w:val="00432CC5"/>
    <w:rsid w:val="004401A5"/>
    <w:rsid w:val="00443622"/>
    <w:rsid w:val="0044647E"/>
    <w:rsid w:val="0045304F"/>
    <w:rsid w:val="00455457"/>
    <w:rsid w:val="00460F2C"/>
    <w:rsid w:val="0046205E"/>
    <w:rsid w:val="00466602"/>
    <w:rsid w:val="00471F86"/>
    <w:rsid w:val="00473C21"/>
    <w:rsid w:val="00473D37"/>
    <w:rsid w:val="00473E6F"/>
    <w:rsid w:val="0047483F"/>
    <w:rsid w:val="00480965"/>
    <w:rsid w:val="00480E06"/>
    <w:rsid w:val="0048340F"/>
    <w:rsid w:val="0048399C"/>
    <w:rsid w:val="0049334D"/>
    <w:rsid w:val="00493AF0"/>
    <w:rsid w:val="00495F71"/>
    <w:rsid w:val="004A24A3"/>
    <w:rsid w:val="004A6471"/>
    <w:rsid w:val="004D0DE5"/>
    <w:rsid w:val="004D5A01"/>
    <w:rsid w:val="004E097C"/>
    <w:rsid w:val="004E29AF"/>
    <w:rsid w:val="004E38CD"/>
    <w:rsid w:val="004F1694"/>
    <w:rsid w:val="004F4F46"/>
    <w:rsid w:val="004F5BDA"/>
    <w:rsid w:val="00500E2B"/>
    <w:rsid w:val="005024F3"/>
    <w:rsid w:val="00505315"/>
    <w:rsid w:val="0051306F"/>
    <w:rsid w:val="00522D4F"/>
    <w:rsid w:val="00523A9F"/>
    <w:rsid w:val="00523D5E"/>
    <w:rsid w:val="00525A43"/>
    <w:rsid w:val="00530B8D"/>
    <w:rsid w:val="005341D2"/>
    <w:rsid w:val="0054271F"/>
    <w:rsid w:val="00546BFD"/>
    <w:rsid w:val="0054700A"/>
    <w:rsid w:val="0055479A"/>
    <w:rsid w:val="0056016D"/>
    <w:rsid w:val="00561CC5"/>
    <w:rsid w:val="00567129"/>
    <w:rsid w:val="0057184D"/>
    <w:rsid w:val="00592EE3"/>
    <w:rsid w:val="00594571"/>
    <w:rsid w:val="005A47FA"/>
    <w:rsid w:val="005A4AB3"/>
    <w:rsid w:val="005A4D11"/>
    <w:rsid w:val="005A6C20"/>
    <w:rsid w:val="005B32D2"/>
    <w:rsid w:val="005B3C22"/>
    <w:rsid w:val="005B4538"/>
    <w:rsid w:val="005C4924"/>
    <w:rsid w:val="005D1482"/>
    <w:rsid w:val="005D46F1"/>
    <w:rsid w:val="005D763B"/>
    <w:rsid w:val="005E40E7"/>
    <w:rsid w:val="005E4171"/>
    <w:rsid w:val="005F6763"/>
    <w:rsid w:val="00603C33"/>
    <w:rsid w:val="0060498B"/>
    <w:rsid w:val="00604E93"/>
    <w:rsid w:val="006134CC"/>
    <w:rsid w:val="00614FC5"/>
    <w:rsid w:val="00615282"/>
    <w:rsid w:val="00620C89"/>
    <w:rsid w:val="006276A2"/>
    <w:rsid w:val="0063118C"/>
    <w:rsid w:val="006402D7"/>
    <w:rsid w:val="006465E1"/>
    <w:rsid w:val="00651538"/>
    <w:rsid w:val="006520EF"/>
    <w:rsid w:val="006563F9"/>
    <w:rsid w:val="00662BAA"/>
    <w:rsid w:val="0066313B"/>
    <w:rsid w:val="006657E0"/>
    <w:rsid w:val="00665B30"/>
    <w:rsid w:val="0067519F"/>
    <w:rsid w:val="00677A8B"/>
    <w:rsid w:val="00682333"/>
    <w:rsid w:val="00692BBF"/>
    <w:rsid w:val="006B11E3"/>
    <w:rsid w:val="006B25C5"/>
    <w:rsid w:val="006B69FA"/>
    <w:rsid w:val="006C06BB"/>
    <w:rsid w:val="006C408D"/>
    <w:rsid w:val="006D7337"/>
    <w:rsid w:val="006E4CB8"/>
    <w:rsid w:val="006E649D"/>
    <w:rsid w:val="006E67D5"/>
    <w:rsid w:val="006F7415"/>
    <w:rsid w:val="00702A97"/>
    <w:rsid w:val="00706381"/>
    <w:rsid w:val="0071380B"/>
    <w:rsid w:val="007139C1"/>
    <w:rsid w:val="007178BE"/>
    <w:rsid w:val="00721B00"/>
    <w:rsid w:val="00722AA3"/>
    <w:rsid w:val="00735042"/>
    <w:rsid w:val="00736B30"/>
    <w:rsid w:val="00740E09"/>
    <w:rsid w:val="00746E9F"/>
    <w:rsid w:val="00750350"/>
    <w:rsid w:val="00750C4D"/>
    <w:rsid w:val="007564C3"/>
    <w:rsid w:val="00756A88"/>
    <w:rsid w:val="00762085"/>
    <w:rsid w:val="00765143"/>
    <w:rsid w:val="00766455"/>
    <w:rsid w:val="0077005D"/>
    <w:rsid w:val="00780596"/>
    <w:rsid w:val="0078620A"/>
    <w:rsid w:val="007876DE"/>
    <w:rsid w:val="00791988"/>
    <w:rsid w:val="00797187"/>
    <w:rsid w:val="007A745D"/>
    <w:rsid w:val="007B04DE"/>
    <w:rsid w:val="007B3A58"/>
    <w:rsid w:val="007C0306"/>
    <w:rsid w:val="007C3571"/>
    <w:rsid w:val="007C460C"/>
    <w:rsid w:val="007D2677"/>
    <w:rsid w:val="007D474F"/>
    <w:rsid w:val="007D78A9"/>
    <w:rsid w:val="007E1585"/>
    <w:rsid w:val="007E6656"/>
    <w:rsid w:val="007F4C3D"/>
    <w:rsid w:val="007F6539"/>
    <w:rsid w:val="00800379"/>
    <w:rsid w:val="008039DF"/>
    <w:rsid w:val="008068B1"/>
    <w:rsid w:val="00807CB0"/>
    <w:rsid w:val="00813890"/>
    <w:rsid w:val="008168C8"/>
    <w:rsid w:val="008202D0"/>
    <w:rsid w:val="00825303"/>
    <w:rsid w:val="008311E5"/>
    <w:rsid w:val="008343A8"/>
    <w:rsid w:val="00840392"/>
    <w:rsid w:val="0084258C"/>
    <w:rsid w:val="00844DCA"/>
    <w:rsid w:val="00850F68"/>
    <w:rsid w:val="008520BB"/>
    <w:rsid w:val="008525BB"/>
    <w:rsid w:val="00857A46"/>
    <w:rsid w:val="0087421A"/>
    <w:rsid w:val="008744B0"/>
    <w:rsid w:val="00886535"/>
    <w:rsid w:val="00886C3B"/>
    <w:rsid w:val="00887539"/>
    <w:rsid w:val="0089479D"/>
    <w:rsid w:val="008A2BBF"/>
    <w:rsid w:val="008B1138"/>
    <w:rsid w:val="008B2DB9"/>
    <w:rsid w:val="008C4994"/>
    <w:rsid w:val="008C7036"/>
    <w:rsid w:val="008C7281"/>
    <w:rsid w:val="008D09B6"/>
    <w:rsid w:val="008E6A15"/>
    <w:rsid w:val="008F0A9A"/>
    <w:rsid w:val="008F7139"/>
    <w:rsid w:val="0091076C"/>
    <w:rsid w:val="00916BD7"/>
    <w:rsid w:val="00920B99"/>
    <w:rsid w:val="00922BDC"/>
    <w:rsid w:val="0093265E"/>
    <w:rsid w:val="00934F64"/>
    <w:rsid w:val="00940875"/>
    <w:rsid w:val="0094171F"/>
    <w:rsid w:val="009430FF"/>
    <w:rsid w:val="009443E2"/>
    <w:rsid w:val="0096714E"/>
    <w:rsid w:val="009675AA"/>
    <w:rsid w:val="0096798C"/>
    <w:rsid w:val="00984C50"/>
    <w:rsid w:val="00987557"/>
    <w:rsid w:val="00994FAF"/>
    <w:rsid w:val="00995163"/>
    <w:rsid w:val="00996F81"/>
    <w:rsid w:val="009A3A26"/>
    <w:rsid w:val="009A7947"/>
    <w:rsid w:val="009B5A73"/>
    <w:rsid w:val="009E7C25"/>
    <w:rsid w:val="009F07C8"/>
    <w:rsid w:val="009F7DF9"/>
    <w:rsid w:val="00A10B58"/>
    <w:rsid w:val="00A1396A"/>
    <w:rsid w:val="00A15D75"/>
    <w:rsid w:val="00A174EA"/>
    <w:rsid w:val="00A23621"/>
    <w:rsid w:val="00A3036E"/>
    <w:rsid w:val="00A33F3B"/>
    <w:rsid w:val="00A40FB6"/>
    <w:rsid w:val="00A42027"/>
    <w:rsid w:val="00A42637"/>
    <w:rsid w:val="00A42E71"/>
    <w:rsid w:val="00A45ECD"/>
    <w:rsid w:val="00A50003"/>
    <w:rsid w:val="00A50041"/>
    <w:rsid w:val="00A50B99"/>
    <w:rsid w:val="00A5288E"/>
    <w:rsid w:val="00A53D06"/>
    <w:rsid w:val="00A566A0"/>
    <w:rsid w:val="00A57BF5"/>
    <w:rsid w:val="00A60A91"/>
    <w:rsid w:val="00A65645"/>
    <w:rsid w:val="00A65AB3"/>
    <w:rsid w:val="00A71D82"/>
    <w:rsid w:val="00A737F0"/>
    <w:rsid w:val="00A74DC3"/>
    <w:rsid w:val="00A77CD0"/>
    <w:rsid w:val="00A90D7C"/>
    <w:rsid w:val="00A91817"/>
    <w:rsid w:val="00A93FD5"/>
    <w:rsid w:val="00A949D3"/>
    <w:rsid w:val="00A95DB5"/>
    <w:rsid w:val="00AA12CB"/>
    <w:rsid w:val="00AA4AE3"/>
    <w:rsid w:val="00AA4B8C"/>
    <w:rsid w:val="00AB1C9F"/>
    <w:rsid w:val="00AC3DAC"/>
    <w:rsid w:val="00AD26A8"/>
    <w:rsid w:val="00AD64E8"/>
    <w:rsid w:val="00AE1467"/>
    <w:rsid w:val="00AE1D6E"/>
    <w:rsid w:val="00AE2CF4"/>
    <w:rsid w:val="00AE3263"/>
    <w:rsid w:val="00AE4E2B"/>
    <w:rsid w:val="00AE5116"/>
    <w:rsid w:val="00B167F9"/>
    <w:rsid w:val="00B22B1C"/>
    <w:rsid w:val="00B2744F"/>
    <w:rsid w:val="00B31EB3"/>
    <w:rsid w:val="00B41438"/>
    <w:rsid w:val="00B53529"/>
    <w:rsid w:val="00B547F5"/>
    <w:rsid w:val="00B630F3"/>
    <w:rsid w:val="00B678E9"/>
    <w:rsid w:val="00B70878"/>
    <w:rsid w:val="00B75EC9"/>
    <w:rsid w:val="00B801F7"/>
    <w:rsid w:val="00B83D90"/>
    <w:rsid w:val="00B928FB"/>
    <w:rsid w:val="00B95D23"/>
    <w:rsid w:val="00B9624F"/>
    <w:rsid w:val="00BA1CA9"/>
    <w:rsid w:val="00BA6A4A"/>
    <w:rsid w:val="00BB1EE9"/>
    <w:rsid w:val="00BC75B1"/>
    <w:rsid w:val="00BD429E"/>
    <w:rsid w:val="00BE1DEC"/>
    <w:rsid w:val="00BE32FF"/>
    <w:rsid w:val="00BE3453"/>
    <w:rsid w:val="00BE4A44"/>
    <w:rsid w:val="00BE7082"/>
    <w:rsid w:val="00BF013C"/>
    <w:rsid w:val="00BF30DA"/>
    <w:rsid w:val="00C01371"/>
    <w:rsid w:val="00C23397"/>
    <w:rsid w:val="00C256F5"/>
    <w:rsid w:val="00C301CF"/>
    <w:rsid w:val="00C31D95"/>
    <w:rsid w:val="00C47077"/>
    <w:rsid w:val="00C5464C"/>
    <w:rsid w:val="00C623DA"/>
    <w:rsid w:val="00C651BA"/>
    <w:rsid w:val="00C657E2"/>
    <w:rsid w:val="00C66AA3"/>
    <w:rsid w:val="00C66D5D"/>
    <w:rsid w:val="00C728FE"/>
    <w:rsid w:val="00C72A2B"/>
    <w:rsid w:val="00C83F80"/>
    <w:rsid w:val="00C877A3"/>
    <w:rsid w:val="00C87B56"/>
    <w:rsid w:val="00CA0D67"/>
    <w:rsid w:val="00CA2A7B"/>
    <w:rsid w:val="00CA6395"/>
    <w:rsid w:val="00CB025C"/>
    <w:rsid w:val="00CB5167"/>
    <w:rsid w:val="00CC5BCC"/>
    <w:rsid w:val="00CC6D11"/>
    <w:rsid w:val="00CD01A4"/>
    <w:rsid w:val="00CD3292"/>
    <w:rsid w:val="00CD360D"/>
    <w:rsid w:val="00CD4F71"/>
    <w:rsid w:val="00CE1826"/>
    <w:rsid w:val="00CE57EF"/>
    <w:rsid w:val="00CE6871"/>
    <w:rsid w:val="00CF53A0"/>
    <w:rsid w:val="00D025C5"/>
    <w:rsid w:val="00D16C1F"/>
    <w:rsid w:val="00D2008A"/>
    <w:rsid w:val="00D25BF0"/>
    <w:rsid w:val="00D27D46"/>
    <w:rsid w:val="00D3050D"/>
    <w:rsid w:val="00D3375F"/>
    <w:rsid w:val="00D35D0F"/>
    <w:rsid w:val="00D4163C"/>
    <w:rsid w:val="00D4212A"/>
    <w:rsid w:val="00D445B4"/>
    <w:rsid w:val="00D529B5"/>
    <w:rsid w:val="00D5640B"/>
    <w:rsid w:val="00D5761D"/>
    <w:rsid w:val="00D57734"/>
    <w:rsid w:val="00D61481"/>
    <w:rsid w:val="00D65A53"/>
    <w:rsid w:val="00D666B2"/>
    <w:rsid w:val="00D70C34"/>
    <w:rsid w:val="00D75DA4"/>
    <w:rsid w:val="00D81E38"/>
    <w:rsid w:val="00D91EFB"/>
    <w:rsid w:val="00D94802"/>
    <w:rsid w:val="00DA2D15"/>
    <w:rsid w:val="00DA3A0C"/>
    <w:rsid w:val="00DA7B33"/>
    <w:rsid w:val="00DB01A4"/>
    <w:rsid w:val="00DB74B0"/>
    <w:rsid w:val="00DC459A"/>
    <w:rsid w:val="00DC4986"/>
    <w:rsid w:val="00DD2473"/>
    <w:rsid w:val="00DD4992"/>
    <w:rsid w:val="00DE0A17"/>
    <w:rsid w:val="00DE0F50"/>
    <w:rsid w:val="00DE6C0E"/>
    <w:rsid w:val="00DF0833"/>
    <w:rsid w:val="00DF38F3"/>
    <w:rsid w:val="00DF61B5"/>
    <w:rsid w:val="00E03B83"/>
    <w:rsid w:val="00E04C09"/>
    <w:rsid w:val="00E07E07"/>
    <w:rsid w:val="00E10899"/>
    <w:rsid w:val="00E17C83"/>
    <w:rsid w:val="00E21E7F"/>
    <w:rsid w:val="00E272CC"/>
    <w:rsid w:val="00E30111"/>
    <w:rsid w:val="00E31503"/>
    <w:rsid w:val="00E37EEC"/>
    <w:rsid w:val="00E444B9"/>
    <w:rsid w:val="00E545B6"/>
    <w:rsid w:val="00E57D9B"/>
    <w:rsid w:val="00E63EC4"/>
    <w:rsid w:val="00E65353"/>
    <w:rsid w:val="00E72F48"/>
    <w:rsid w:val="00E733E4"/>
    <w:rsid w:val="00E760FA"/>
    <w:rsid w:val="00E76DF4"/>
    <w:rsid w:val="00E77F84"/>
    <w:rsid w:val="00E853E7"/>
    <w:rsid w:val="00E85A1B"/>
    <w:rsid w:val="00E872C2"/>
    <w:rsid w:val="00E910C7"/>
    <w:rsid w:val="00EA0B43"/>
    <w:rsid w:val="00EA1DD7"/>
    <w:rsid w:val="00EA3E89"/>
    <w:rsid w:val="00EB2721"/>
    <w:rsid w:val="00EB56F1"/>
    <w:rsid w:val="00EC54D7"/>
    <w:rsid w:val="00EC625F"/>
    <w:rsid w:val="00ED340D"/>
    <w:rsid w:val="00ED61F8"/>
    <w:rsid w:val="00EE0617"/>
    <w:rsid w:val="00EE69E8"/>
    <w:rsid w:val="00EE7302"/>
    <w:rsid w:val="00EE7794"/>
    <w:rsid w:val="00EE7B0E"/>
    <w:rsid w:val="00EF026B"/>
    <w:rsid w:val="00EF54EA"/>
    <w:rsid w:val="00F13511"/>
    <w:rsid w:val="00F1602F"/>
    <w:rsid w:val="00F163B9"/>
    <w:rsid w:val="00F16DF8"/>
    <w:rsid w:val="00F219DC"/>
    <w:rsid w:val="00F24A52"/>
    <w:rsid w:val="00F26ED9"/>
    <w:rsid w:val="00F37A14"/>
    <w:rsid w:val="00F40ADD"/>
    <w:rsid w:val="00F41F11"/>
    <w:rsid w:val="00F42072"/>
    <w:rsid w:val="00F46C97"/>
    <w:rsid w:val="00F5642F"/>
    <w:rsid w:val="00F612E5"/>
    <w:rsid w:val="00F739EF"/>
    <w:rsid w:val="00F74CF2"/>
    <w:rsid w:val="00F756C3"/>
    <w:rsid w:val="00F772CA"/>
    <w:rsid w:val="00F844B7"/>
    <w:rsid w:val="00F905CB"/>
    <w:rsid w:val="00F95743"/>
    <w:rsid w:val="00F9786B"/>
    <w:rsid w:val="00FB627A"/>
    <w:rsid w:val="00FB6C28"/>
    <w:rsid w:val="00FD157B"/>
    <w:rsid w:val="00FD44B5"/>
    <w:rsid w:val="00FD5E56"/>
    <w:rsid w:val="00FE0E5A"/>
    <w:rsid w:val="00FF01FB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4288112E-9302-4512-B2ED-7514D4CC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21"/>
    <w:rPr>
      <w:sz w:val="20"/>
      <w:szCs w:val="20"/>
      <w:lang w:val="es-ES" w:eastAsia="es-CR"/>
    </w:rPr>
  </w:style>
  <w:style w:type="paragraph" w:styleId="Ttulo1">
    <w:name w:val="heading 1"/>
    <w:basedOn w:val="Normal"/>
    <w:next w:val="Normal"/>
    <w:link w:val="Ttulo1Car"/>
    <w:uiPriority w:val="99"/>
    <w:qFormat/>
    <w:rsid w:val="00473C21"/>
    <w:pPr>
      <w:keepNext/>
      <w:jc w:val="center"/>
      <w:outlineLvl w:val="0"/>
    </w:pPr>
    <w:rPr>
      <w:i/>
      <w:iCs/>
      <w:sz w:val="22"/>
      <w:szCs w:val="22"/>
      <w:lang w:val="es-CR"/>
    </w:rPr>
  </w:style>
  <w:style w:type="paragraph" w:styleId="Ttulo2">
    <w:name w:val="heading 2"/>
    <w:basedOn w:val="Normal"/>
    <w:next w:val="Normal"/>
    <w:link w:val="Ttulo2Car"/>
    <w:uiPriority w:val="99"/>
    <w:qFormat/>
    <w:rsid w:val="00473C21"/>
    <w:pPr>
      <w:keepNext/>
      <w:jc w:val="center"/>
      <w:outlineLvl w:val="1"/>
    </w:pPr>
    <w:rPr>
      <w:rFonts w:ascii="Garamond" w:hAnsi="Garamond" w:cs="Garamond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473C21"/>
    <w:pPr>
      <w:keepNext/>
      <w:outlineLvl w:val="2"/>
    </w:pPr>
    <w:rPr>
      <w:rFonts w:ascii="Garamond" w:hAnsi="Garamond" w:cs="Garamond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8744B0"/>
    <w:pPr>
      <w:keepNext/>
      <w:spacing w:after="120"/>
      <w:jc w:val="both"/>
      <w:outlineLvl w:val="4"/>
    </w:pPr>
    <w:rPr>
      <w:rFonts w:ascii="Century" w:hAnsi="Century" w:cs="Century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340D"/>
    <w:rPr>
      <w:rFonts w:ascii="Cambria" w:hAnsi="Cambria" w:cs="Cambria"/>
      <w:b/>
      <w:bCs/>
      <w:kern w:val="32"/>
      <w:sz w:val="32"/>
      <w:szCs w:val="32"/>
      <w:lang w:val="es-ES" w:eastAsia="es-CR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ED340D"/>
    <w:rPr>
      <w:rFonts w:ascii="Cambria" w:hAnsi="Cambria" w:cs="Cambria"/>
      <w:b/>
      <w:bCs/>
      <w:i/>
      <w:iCs/>
      <w:sz w:val="28"/>
      <w:szCs w:val="28"/>
      <w:lang w:val="es-ES" w:eastAsia="es-CR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ED340D"/>
    <w:rPr>
      <w:rFonts w:ascii="Cambria" w:hAnsi="Cambria" w:cs="Cambria"/>
      <w:b/>
      <w:bCs/>
      <w:sz w:val="26"/>
      <w:szCs w:val="26"/>
      <w:lang w:val="es-ES" w:eastAsia="es-CR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ED340D"/>
    <w:rPr>
      <w:rFonts w:ascii="Calibri" w:hAnsi="Calibri" w:cs="Calibri"/>
      <w:b/>
      <w:bCs/>
      <w:i/>
      <w:iCs/>
      <w:sz w:val="26"/>
      <w:szCs w:val="26"/>
      <w:lang w:val="es-ES" w:eastAsia="es-CR"/>
    </w:rPr>
  </w:style>
  <w:style w:type="paragraph" w:styleId="Piedepgina">
    <w:name w:val="footer"/>
    <w:basedOn w:val="Normal"/>
    <w:link w:val="PiedepginaCar"/>
    <w:uiPriority w:val="99"/>
    <w:rsid w:val="00473C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40D"/>
    <w:rPr>
      <w:sz w:val="20"/>
      <w:szCs w:val="20"/>
      <w:lang w:val="es-ES" w:eastAsia="es-CR"/>
    </w:rPr>
  </w:style>
  <w:style w:type="character" w:styleId="Hipervnculo">
    <w:name w:val="Hyperlink"/>
    <w:basedOn w:val="Fuentedeprrafopredeter"/>
    <w:uiPriority w:val="99"/>
    <w:rsid w:val="00473C21"/>
    <w:rPr>
      <w:color w:val="0000FF"/>
      <w:u w:val="single"/>
    </w:rPr>
  </w:style>
  <w:style w:type="paragraph" w:styleId="Puesto">
    <w:name w:val="Title"/>
    <w:basedOn w:val="Normal"/>
    <w:link w:val="PuestoCar"/>
    <w:uiPriority w:val="99"/>
    <w:qFormat/>
    <w:rsid w:val="00473C21"/>
    <w:pPr>
      <w:jc w:val="center"/>
    </w:pPr>
    <w:rPr>
      <w:rFonts w:ascii="Tahoma" w:hAnsi="Tahoma" w:cs="Tahoma"/>
      <w:b/>
      <w:bCs/>
      <w:sz w:val="22"/>
      <w:szCs w:val="22"/>
      <w:lang w:val="es-CR"/>
    </w:rPr>
  </w:style>
  <w:style w:type="character" w:customStyle="1" w:styleId="PuestoCar">
    <w:name w:val="Puesto Car"/>
    <w:basedOn w:val="Fuentedeprrafopredeter"/>
    <w:link w:val="Puesto"/>
    <w:uiPriority w:val="99"/>
    <w:rsid w:val="00ED340D"/>
    <w:rPr>
      <w:rFonts w:ascii="Cambria" w:hAnsi="Cambria" w:cs="Cambria"/>
      <w:b/>
      <w:bCs/>
      <w:kern w:val="28"/>
      <w:sz w:val="32"/>
      <w:szCs w:val="32"/>
      <w:lang w:val="es-ES" w:eastAsia="es-CR"/>
    </w:rPr>
  </w:style>
  <w:style w:type="paragraph" w:styleId="Textoindependiente">
    <w:name w:val="Body Text"/>
    <w:basedOn w:val="Normal"/>
    <w:link w:val="TextoindependienteCar"/>
    <w:uiPriority w:val="99"/>
    <w:rsid w:val="00473C21"/>
    <w:pPr>
      <w:jc w:val="both"/>
    </w:pPr>
    <w:rPr>
      <w:rFonts w:ascii="Garamond" w:hAnsi="Garamond" w:cs="Garamond"/>
      <w:sz w:val="24"/>
      <w:szCs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340D"/>
    <w:rPr>
      <w:sz w:val="20"/>
      <w:szCs w:val="20"/>
      <w:lang w:val="es-ES" w:eastAsia="es-CR"/>
    </w:rPr>
  </w:style>
  <w:style w:type="paragraph" w:styleId="Encabezado">
    <w:name w:val="header"/>
    <w:basedOn w:val="Normal"/>
    <w:link w:val="EncabezadoCar"/>
    <w:uiPriority w:val="99"/>
    <w:rsid w:val="00473C21"/>
    <w:pPr>
      <w:widowControl w:val="0"/>
      <w:tabs>
        <w:tab w:val="center" w:pos="4252"/>
        <w:tab w:val="right" w:pos="8504"/>
      </w:tabs>
    </w:pPr>
    <w:rPr>
      <w:rFonts w:ascii="Arial" w:hAnsi="Arial" w:cs="Arial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340D"/>
    <w:rPr>
      <w:sz w:val="20"/>
      <w:szCs w:val="20"/>
      <w:lang w:val="es-ES" w:eastAsia="es-CR"/>
    </w:rPr>
  </w:style>
  <w:style w:type="paragraph" w:styleId="Textoindependiente2">
    <w:name w:val="Body Text 2"/>
    <w:basedOn w:val="Normal"/>
    <w:link w:val="Textoindependiente2Car"/>
    <w:uiPriority w:val="99"/>
    <w:rsid w:val="00473C21"/>
    <w:pPr>
      <w:jc w:val="both"/>
    </w:pPr>
    <w:rPr>
      <w:rFonts w:ascii="Garamond" w:hAnsi="Garamond" w:cs="Garamond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40D"/>
    <w:rPr>
      <w:sz w:val="20"/>
      <w:szCs w:val="20"/>
      <w:lang w:val="es-ES" w:eastAsia="es-CR"/>
    </w:rPr>
  </w:style>
  <w:style w:type="paragraph" w:styleId="Subttulo">
    <w:name w:val="Subtitle"/>
    <w:basedOn w:val="Normal"/>
    <w:link w:val="SubttuloCar"/>
    <w:uiPriority w:val="99"/>
    <w:qFormat/>
    <w:rsid w:val="00473C21"/>
    <w:pPr>
      <w:jc w:val="center"/>
    </w:pPr>
    <w:rPr>
      <w:rFonts w:ascii="Garamond" w:hAnsi="Garamond" w:cs="Garamond"/>
      <w:b/>
      <w:bCs/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ED340D"/>
    <w:rPr>
      <w:rFonts w:ascii="Cambria" w:hAnsi="Cambria" w:cs="Cambria"/>
      <w:sz w:val="24"/>
      <w:szCs w:val="24"/>
      <w:lang w:val="es-ES" w:eastAsia="es-CR"/>
    </w:rPr>
  </w:style>
  <w:style w:type="character" w:styleId="Nmerodepgina">
    <w:name w:val="page number"/>
    <w:basedOn w:val="Fuentedeprrafopredeter"/>
    <w:uiPriority w:val="99"/>
    <w:rsid w:val="00473C21"/>
  </w:style>
  <w:style w:type="paragraph" w:styleId="Textoindependiente3">
    <w:name w:val="Body Text 3"/>
    <w:basedOn w:val="Normal"/>
    <w:link w:val="Textoindependiente3Car"/>
    <w:uiPriority w:val="99"/>
    <w:rsid w:val="00473C21"/>
    <w:pPr>
      <w:pBdr>
        <w:top w:val="thinThickLargeGap" w:sz="24" w:space="1" w:color="auto"/>
        <w:left w:val="thinThickLargeGap" w:sz="24" w:space="4" w:color="auto"/>
        <w:bottom w:val="thinThickLargeGap" w:sz="24" w:space="1" w:color="auto"/>
        <w:right w:val="thinThickLargeGap" w:sz="24" w:space="4" w:color="auto"/>
      </w:pBdr>
      <w:jc w:val="center"/>
    </w:pPr>
    <w:rPr>
      <w:rFonts w:ascii="Garamond" w:hAnsi="Garamond" w:cs="Garamond"/>
      <w:b/>
      <w:bCs/>
      <w:sz w:val="44"/>
      <w:szCs w:val="4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D340D"/>
    <w:rPr>
      <w:sz w:val="16"/>
      <w:szCs w:val="16"/>
      <w:lang w:val="es-ES" w:eastAsia="es-CR"/>
    </w:rPr>
  </w:style>
  <w:style w:type="table" w:styleId="Tablaconcuadrcula">
    <w:name w:val="Table Grid"/>
    <w:basedOn w:val="Tablanormal"/>
    <w:uiPriority w:val="99"/>
    <w:rsid w:val="001B48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945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71"/>
    <w:rPr>
      <w:sz w:val="20"/>
      <w:szCs w:val="20"/>
      <w:lang w:val="es-ES" w:eastAsia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594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.go.cr/documentos/manuales_guia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B787-1C00-41D6-AAA7-AA8308EC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3851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resumen</vt:lpstr>
    </vt:vector>
  </TitlesOfParts>
  <Company>..</Company>
  <LinksUpToDate>false</LinksUpToDate>
  <CharactersWithSpaces>24983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resumen</dc:title>
  <dc:creator>....</dc:creator>
  <cp:lastModifiedBy>Laura Porras Martìnez</cp:lastModifiedBy>
  <cp:revision>21</cp:revision>
  <cp:lastPrinted>2009-05-29T14:55:00Z</cp:lastPrinted>
  <dcterms:created xsi:type="dcterms:W3CDTF">2018-10-26T18:28:00Z</dcterms:created>
  <dcterms:modified xsi:type="dcterms:W3CDTF">2020-02-14T17:51:00Z</dcterms:modified>
</cp:coreProperties>
</file>